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RPr="003E4F42" w:rsidTr="00267782">
        <w:tc>
          <w:tcPr>
            <w:tcW w:w="8363" w:type="dxa"/>
          </w:tcPr>
          <w:p w:rsidR="00916FF8" w:rsidRPr="003E4F42" w:rsidRDefault="007942F3" w:rsidP="004C7868">
            <w:pPr>
              <w:pStyle w:val="FileNumber0"/>
              <w:rPr>
                <w:sz w:val="28"/>
                <w:u w:val="single"/>
                <w:rtl/>
              </w:rPr>
            </w:pPr>
            <w:bookmarkStart w:id="0" w:name="_GoBack"/>
            <w:bookmarkEnd w:id="0"/>
            <w:r w:rsidRPr="003E4F42">
              <w:rPr>
                <w:u w:val="single"/>
                <w:rtl/>
              </w:rPr>
              <w:t>בבית המשפט העליון בשבתו כבית משפט גבוה לצדק</w:t>
            </w:r>
          </w:p>
        </w:tc>
      </w:tr>
    </w:tbl>
    <w:p w:rsidR="00916FF8" w:rsidRPr="003E4F42"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RPr="003E4F42" w:rsidTr="0039709B">
        <w:trPr>
          <w:trHeight w:val="342"/>
        </w:trPr>
        <w:tc>
          <w:tcPr>
            <w:tcW w:w="9828" w:type="dxa"/>
          </w:tcPr>
          <w:p w:rsidR="00916FF8" w:rsidRPr="003E4F42" w:rsidRDefault="007942F3" w:rsidP="00BD3E24">
            <w:pPr>
              <w:pStyle w:val="FileNumber"/>
              <w:rPr>
                <w:sz w:val="28"/>
                <w:szCs w:val="28"/>
              </w:rPr>
            </w:pPr>
            <w:bookmarkStart w:id="1" w:name="casename_body"/>
            <w:r w:rsidRPr="003E4F42">
              <w:rPr>
                <w:sz w:val="28"/>
                <w:szCs w:val="28"/>
                <w:rtl/>
              </w:rPr>
              <w:t>בג"ץ 5119/23</w:t>
            </w:r>
          </w:p>
        </w:tc>
      </w:tr>
      <w:tr w:rsidR="007942F3" w:rsidRPr="003E4F42" w:rsidTr="0039709B">
        <w:trPr>
          <w:trHeight w:val="342"/>
        </w:trPr>
        <w:tc>
          <w:tcPr>
            <w:tcW w:w="9828" w:type="dxa"/>
          </w:tcPr>
          <w:p w:rsidR="007942F3" w:rsidRPr="003E4F42" w:rsidRDefault="007942F3" w:rsidP="00BD3E24">
            <w:pPr>
              <w:pStyle w:val="FileNumber"/>
              <w:rPr>
                <w:sz w:val="28"/>
                <w:szCs w:val="28"/>
                <w:rtl/>
              </w:rPr>
            </w:pPr>
            <w:r w:rsidRPr="003E4F42">
              <w:rPr>
                <w:sz w:val="28"/>
                <w:szCs w:val="28"/>
                <w:rtl/>
              </w:rPr>
              <w:t>בג"ץ 5120/23</w:t>
            </w:r>
          </w:p>
        </w:tc>
      </w:tr>
      <w:tr w:rsidR="007942F3" w:rsidRPr="003E4F42" w:rsidTr="0039709B">
        <w:trPr>
          <w:trHeight w:val="342"/>
        </w:trPr>
        <w:tc>
          <w:tcPr>
            <w:tcW w:w="9828" w:type="dxa"/>
          </w:tcPr>
          <w:p w:rsidR="007942F3" w:rsidRPr="003E4F42" w:rsidRDefault="007942F3" w:rsidP="00BD3E24">
            <w:pPr>
              <w:pStyle w:val="FileNumber"/>
              <w:rPr>
                <w:sz w:val="28"/>
                <w:szCs w:val="28"/>
                <w:rtl/>
              </w:rPr>
            </w:pPr>
            <w:r w:rsidRPr="003E4F42">
              <w:rPr>
                <w:sz w:val="28"/>
                <w:szCs w:val="28"/>
                <w:rtl/>
              </w:rPr>
              <w:t>בג"ץ 5434/23</w:t>
            </w:r>
          </w:p>
        </w:tc>
      </w:tr>
      <w:bookmarkEnd w:id="1"/>
    </w:tbl>
    <w:p w:rsidR="00916FF8" w:rsidRPr="003E4F42"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RPr="003E4F42" w:rsidTr="00EC23AC">
        <w:trPr>
          <w:trHeight w:val="287"/>
        </w:trPr>
        <w:tc>
          <w:tcPr>
            <w:tcW w:w="3261" w:type="dxa"/>
          </w:tcPr>
          <w:p w:rsidR="00036227" w:rsidRPr="003E4F42" w:rsidRDefault="00CB7600">
            <w:pPr>
              <w:pStyle w:val="BodyRuller"/>
              <w:rPr>
                <w:rFonts w:cs="Miriam"/>
                <w:b/>
                <w:bCs/>
                <w:u w:val="single"/>
              </w:rPr>
            </w:pPr>
            <w:r w:rsidRPr="003E4F42">
              <w:rPr>
                <w:rFonts w:hint="cs"/>
                <w:rtl/>
              </w:rPr>
              <w:t>ל</w:t>
            </w:r>
            <w:r w:rsidR="00036227" w:rsidRPr="003E4F42">
              <w:rPr>
                <w:rtl/>
              </w:rPr>
              <w:t>פני:</w:t>
            </w:r>
            <w:r w:rsidR="00036227" w:rsidRPr="003E4F42">
              <w:rPr>
                <w:rtl/>
              </w:rPr>
              <w:tab/>
            </w:r>
          </w:p>
        </w:tc>
        <w:tc>
          <w:tcPr>
            <w:tcW w:w="5239" w:type="dxa"/>
          </w:tcPr>
          <w:p w:rsidR="00036227" w:rsidRPr="003E4F42" w:rsidRDefault="007942F3">
            <w:pPr>
              <w:pStyle w:val="BodyRuller"/>
            </w:pPr>
            <w:r w:rsidRPr="003E4F42">
              <w:rPr>
                <w:rtl/>
              </w:rPr>
              <w:t xml:space="preserve">כבוד הנשיאה </w:t>
            </w:r>
            <w:r w:rsidR="00267280">
              <w:rPr>
                <w:rFonts w:hint="cs"/>
                <w:rtl/>
              </w:rPr>
              <w:t xml:space="preserve">(בדימ') </w:t>
            </w:r>
            <w:r w:rsidRPr="003E4F42">
              <w:rPr>
                <w:rtl/>
              </w:rPr>
              <w:t>א' חיות</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rsidP="00EB6F7F">
            <w:pPr>
              <w:pStyle w:val="BodyRuller"/>
              <w:rPr>
                <w:rtl/>
              </w:rPr>
            </w:pPr>
            <w:r w:rsidRPr="003E4F42">
              <w:rPr>
                <w:rtl/>
              </w:rPr>
              <w:t xml:space="preserve">כבוד </w:t>
            </w:r>
            <w:r w:rsidR="00EB6F7F">
              <w:rPr>
                <w:rFonts w:hint="cs"/>
                <w:rtl/>
              </w:rPr>
              <w:t>ממלא</w:t>
            </w:r>
            <w:r w:rsidR="00CA46C9">
              <w:rPr>
                <w:rFonts w:hint="cs"/>
                <w:rtl/>
              </w:rPr>
              <w:t xml:space="preserve"> מקום הנשיא</w:t>
            </w:r>
            <w:r w:rsidRPr="003E4F42">
              <w:rPr>
                <w:rtl/>
              </w:rPr>
              <w:t xml:space="preserve"> ע' פוגלמן</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 י' עמית</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 נ' סולברג</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השופטת ד' ברק-ארז</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 xml:space="preserve">כבוד השופטת </w:t>
            </w:r>
            <w:r w:rsidR="00562EBF">
              <w:rPr>
                <w:rFonts w:hint="cs"/>
                <w:rtl/>
              </w:rPr>
              <w:t xml:space="preserve">(בדימ') </w:t>
            </w:r>
            <w:r w:rsidRPr="003E4F42">
              <w:rPr>
                <w:rtl/>
              </w:rPr>
              <w:t>ע' ברון</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 ד' מינץ</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השופטת י' וילנר</w:t>
            </w:r>
          </w:p>
        </w:tc>
      </w:tr>
      <w:tr w:rsidR="007942F3" w:rsidRPr="003E4F42" w:rsidTr="00EC23AC">
        <w:trPr>
          <w:trHeight w:val="287"/>
        </w:trPr>
        <w:tc>
          <w:tcPr>
            <w:tcW w:w="3261" w:type="dxa"/>
          </w:tcPr>
          <w:p w:rsidR="007942F3" w:rsidRPr="003E4F42" w:rsidRDefault="007942F3">
            <w:pPr>
              <w:pStyle w:val="BodyRuller"/>
              <w:rPr>
                <w:rtl/>
              </w:rPr>
            </w:pPr>
          </w:p>
        </w:tc>
        <w:tc>
          <w:tcPr>
            <w:tcW w:w="5239" w:type="dxa"/>
          </w:tcPr>
          <w:p w:rsidR="007942F3" w:rsidRPr="003E4F42" w:rsidRDefault="007942F3">
            <w:pPr>
              <w:pStyle w:val="BodyRuller"/>
              <w:rPr>
                <w:rtl/>
              </w:rPr>
            </w:pPr>
            <w:r w:rsidRPr="003E4F42">
              <w:rPr>
                <w:rtl/>
              </w:rPr>
              <w:t>כבוד השופט א' שטיין</w:t>
            </w:r>
          </w:p>
        </w:tc>
      </w:tr>
    </w:tbl>
    <w:p w:rsidR="00916FF8" w:rsidRPr="003E4F42"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61" w:type="dxa"/>
          </w:tcPr>
          <w:p w:rsidR="00BD3E24" w:rsidRPr="003E4F42" w:rsidRDefault="00BD3E24" w:rsidP="00654DC5">
            <w:pPr>
              <w:pStyle w:val="BodyRuller"/>
              <w:rPr>
                <w:rFonts w:ascii="David" w:hAnsi="David"/>
              </w:rPr>
            </w:pPr>
            <w:r w:rsidRPr="003E4F42">
              <w:rPr>
                <w:rFonts w:ascii="David" w:hAnsi="David"/>
                <w:rtl/>
              </w:rPr>
              <w:t>העותר</w:t>
            </w:r>
            <w:r w:rsidRPr="003E4F42">
              <w:rPr>
                <w:rFonts w:ascii="David" w:hAnsi="David" w:hint="cs"/>
                <w:rtl/>
              </w:rPr>
              <w:t>ות בבג"ץ 5119/23</w:t>
            </w:r>
            <w:r w:rsidRPr="003E4F42">
              <w:rPr>
                <w:rFonts w:ascii="David" w:hAnsi="David"/>
                <w:rtl/>
              </w:rPr>
              <w:t>:</w:t>
            </w:r>
          </w:p>
        </w:tc>
        <w:tc>
          <w:tcPr>
            <w:tcW w:w="5239" w:type="dxa"/>
          </w:tcPr>
          <w:p w:rsidR="00BD3E24" w:rsidRPr="003E4F42" w:rsidRDefault="00BD3E24" w:rsidP="00654DC5">
            <w:pPr>
              <w:pStyle w:val="BodyRuller"/>
            </w:pPr>
            <w:r w:rsidRPr="003E4F42">
              <w:rPr>
                <w:rtl/>
              </w:rPr>
              <w:t>1. התנועה לטוהר המידות</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2. שני אילוז</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3. תנועה ישראלית</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pStyle w:val="BodyRuller"/>
              <w:rPr>
                <w:rFonts w:ascii="David" w:hAnsi="David"/>
              </w:rPr>
            </w:pPr>
            <w:r w:rsidRPr="003E4F42">
              <w:rPr>
                <w:rFonts w:ascii="David" w:hAnsi="David"/>
                <w:rtl/>
              </w:rPr>
              <w:t>העותר</w:t>
            </w:r>
            <w:r w:rsidRPr="003E4F42">
              <w:rPr>
                <w:rFonts w:ascii="David" w:hAnsi="David" w:hint="cs"/>
                <w:rtl/>
              </w:rPr>
              <w:t>ת בבג"ץ 5120/23</w:t>
            </w:r>
            <w:r w:rsidRPr="003E4F42">
              <w:rPr>
                <w:rFonts w:ascii="David" w:hAnsi="David"/>
                <w:rtl/>
              </w:rPr>
              <w:t>:</w:t>
            </w:r>
          </w:p>
        </w:tc>
        <w:tc>
          <w:tcPr>
            <w:tcW w:w="5154" w:type="dxa"/>
          </w:tcPr>
          <w:p w:rsidR="00BD3E24" w:rsidRPr="003E4F42" w:rsidRDefault="00BD3E24" w:rsidP="00654DC5">
            <w:pPr>
              <w:pStyle w:val="BodyRuller"/>
            </w:pPr>
            <w:r w:rsidRPr="003E4F42">
              <w:rPr>
                <w:rFonts w:hint="cs"/>
                <w:rtl/>
              </w:rPr>
              <w:t>התנועה למען איכות השלטון בישראל</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pStyle w:val="BodyRuller"/>
              <w:rPr>
                <w:rFonts w:ascii="David" w:hAnsi="David"/>
              </w:rPr>
            </w:pPr>
            <w:r w:rsidRPr="003E4F42">
              <w:rPr>
                <w:rFonts w:ascii="David" w:hAnsi="David" w:hint="cs"/>
                <w:rtl/>
              </w:rPr>
              <w:t>העותר בבג"ץ 5434/23</w:t>
            </w:r>
            <w:r w:rsidRPr="003E4F42">
              <w:rPr>
                <w:rFonts w:ascii="David" w:hAnsi="David"/>
                <w:rtl/>
              </w:rPr>
              <w:t>:</w:t>
            </w:r>
          </w:p>
        </w:tc>
        <w:tc>
          <w:tcPr>
            <w:tcW w:w="5154" w:type="dxa"/>
          </w:tcPr>
          <w:p w:rsidR="00BD3E24" w:rsidRPr="003E4F42" w:rsidRDefault="00BD3E24" w:rsidP="00654DC5">
            <w:pPr>
              <w:pStyle w:val="BodyRuller"/>
            </w:pPr>
            <w:r w:rsidRPr="003E4F42">
              <w:rPr>
                <w:rFonts w:hint="cs"/>
                <w:rtl/>
              </w:rPr>
              <w:t>אביב יצחק</w:t>
            </w:r>
          </w:p>
        </w:tc>
      </w:tr>
    </w:tbl>
    <w:p w:rsidR="00BD3E24" w:rsidRPr="003E4F42" w:rsidRDefault="00BD3E24" w:rsidP="00BD3E24">
      <w:pPr>
        <w:pStyle w:val="Ruller3"/>
      </w:pPr>
    </w:p>
    <w:tbl>
      <w:tblPr>
        <w:bidiVisual/>
        <w:tblW w:w="8363" w:type="dxa"/>
        <w:tblLook w:val="0000" w:firstRow="0" w:lastRow="0" w:firstColumn="0" w:lastColumn="0" w:noHBand="0" w:noVBand="0"/>
      </w:tblPr>
      <w:tblGrid>
        <w:gridCol w:w="3222"/>
        <w:gridCol w:w="5141"/>
      </w:tblGrid>
      <w:tr w:rsidR="00BD3E24" w:rsidRPr="003E4F42" w:rsidTr="00654DC5">
        <w:tc>
          <w:tcPr>
            <w:tcW w:w="3284" w:type="dxa"/>
          </w:tcPr>
          <w:p w:rsidR="00BD3E24" w:rsidRPr="003E4F42" w:rsidRDefault="00BD3E24" w:rsidP="00654DC5">
            <w:pPr>
              <w:pStyle w:val="BodyRuller"/>
            </w:pPr>
          </w:p>
        </w:tc>
        <w:tc>
          <w:tcPr>
            <w:tcW w:w="5238" w:type="dxa"/>
          </w:tcPr>
          <w:p w:rsidR="00BD3E24" w:rsidRPr="003E4F42" w:rsidRDefault="00BD3E24" w:rsidP="00654DC5">
            <w:pPr>
              <w:pStyle w:val="BodyRuller"/>
            </w:pPr>
            <w:r w:rsidRPr="003E4F42">
              <w:rPr>
                <w:rFonts w:hint="cs"/>
                <w:rtl/>
              </w:rPr>
              <w:t>נ</w:t>
            </w:r>
            <w:r w:rsidRPr="003E4F42">
              <w:t xml:space="preserve">  </w:t>
            </w:r>
            <w:r w:rsidRPr="003E4F42">
              <w:rPr>
                <w:rFonts w:hint="cs"/>
                <w:rtl/>
              </w:rPr>
              <w:t>ג</w:t>
            </w:r>
            <w:r w:rsidRPr="003E4F42">
              <w:t xml:space="preserve">  </w:t>
            </w:r>
            <w:r w:rsidRPr="003E4F42">
              <w:rPr>
                <w:rFonts w:hint="cs"/>
                <w:rtl/>
              </w:rPr>
              <w:t>ד</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61" w:type="dxa"/>
          </w:tcPr>
          <w:p w:rsidR="00BD3E24" w:rsidRPr="003E4F42" w:rsidRDefault="00BD3E24" w:rsidP="00654DC5">
            <w:pPr>
              <w:pStyle w:val="BodyRuller"/>
              <w:rPr>
                <w:rFonts w:ascii="David" w:hAnsi="David"/>
              </w:rPr>
            </w:pPr>
            <w:r w:rsidRPr="003E4F42">
              <w:rPr>
                <w:rFonts w:ascii="David" w:hAnsi="David"/>
                <w:rtl/>
              </w:rPr>
              <w:t>המשיבים</w:t>
            </w:r>
            <w:r w:rsidRPr="003E4F42">
              <w:rPr>
                <w:rFonts w:ascii="David" w:hAnsi="David" w:hint="cs"/>
                <w:rtl/>
              </w:rPr>
              <w:t xml:space="preserve"> בבג"ץ 5119/23</w:t>
            </w:r>
            <w:r w:rsidRPr="003E4F42">
              <w:rPr>
                <w:rFonts w:ascii="David" w:hAnsi="David"/>
                <w:rtl/>
              </w:rPr>
              <w:t>:</w:t>
            </w:r>
          </w:p>
        </w:tc>
        <w:tc>
          <w:tcPr>
            <w:tcW w:w="5239" w:type="dxa"/>
          </w:tcPr>
          <w:p w:rsidR="00BD3E24" w:rsidRPr="003E4F42" w:rsidRDefault="00BD3E24" w:rsidP="00654DC5">
            <w:pPr>
              <w:pStyle w:val="BodyRuller"/>
            </w:pPr>
            <w:r w:rsidRPr="003E4F42">
              <w:rPr>
                <w:rtl/>
              </w:rPr>
              <w:t>1. הכנסת</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2. היועצת המשפטית לממשלה</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3. משרד הפנים</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4. בועז יוסף, ראש הוועדה הקרואה בטבריה</w:t>
            </w:r>
          </w:p>
        </w:tc>
      </w:tr>
      <w:tr w:rsidR="00BD3E24" w:rsidRPr="003E4F42" w:rsidTr="00654DC5">
        <w:trPr>
          <w:trHeight w:val="287"/>
        </w:trPr>
        <w:tc>
          <w:tcPr>
            <w:tcW w:w="3261" w:type="dxa"/>
          </w:tcPr>
          <w:p w:rsidR="00BD3E24" w:rsidRPr="003E4F42" w:rsidRDefault="00BD3E24" w:rsidP="00654DC5">
            <w:pPr>
              <w:pStyle w:val="BodyRuller"/>
              <w:rPr>
                <w:rFonts w:ascii="David" w:hAnsi="David"/>
                <w:rtl/>
              </w:rPr>
            </w:pPr>
          </w:p>
        </w:tc>
        <w:tc>
          <w:tcPr>
            <w:tcW w:w="5239" w:type="dxa"/>
          </w:tcPr>
          <w:p w:rsidR="00BD3E24" w:rsidRPr="003E4F42" w:rsidRDefault="00BD3E24" w:rsidP="00654DC5">
            <w:pPr>
              <w:pStyle w:val="BodyRuller"/>
              <w:rPr>
                <w:rtl/>
              </w:rPr>
            </w:pPr>
            <w:r w:rsidRPr="003E4F42">
              <w:rPr>
                <w:rtl/>
              </w:rPr>
              <w:t>5. מרכז השלטון המקומי</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pStyle w:val="BodyRuller"/>
              <w:rPr>
                <w:rFonts w:ascii="David" w:hAnsi="David"/>
              </w:rPr>
            </w:pPr>
            <w:r w:rsidRPr="003E4F42">
              <w:rPr>
                <w:rFonts w:ascii="David" w:hAnsi="David"/>
                <w:rtl/>
              </w:rPr>
              <w:t>המשיבים</w:t>
            </w:r>
            <w:r w:rsidRPr="003E4F42">
              <w:rPr>
                <w:rFonts w:ascii="David" w:hAnsi="David" w:hint="cs"/>
                <w:rtl/>
              </w:rPr>
              <w:t xml:space="preserve"> בבג"ץ 5120/23</w:t>
            </w:r>
            <w:r w:rsidRPr="003E4F42">
              <w:rPr>
                <w:rFonts w:ascii="David" w:hAnsi="David"/>
                <w:rtl/>
              </w:rPr>
              <w:t>:</w:t>
            </w:r>
          </w:p>
        </w:tc>
        <w:tc>
          <w:tcPr>
            <w:tcW w:w="5154" w:type="dxa"/>
          </w:tcPr>
          <w:p w:rsidR="00BD3E24" w:rsidRPr="003E4F42" w:rsidRDefault="00BD3E24" w:rsidP="00654DC5">
            <w:pPr>
              <w:pStyle w:val="BodyRuller"/>
            </w:pPr>
            <w:r w:rsidRPr="003E4F42">
              <w:rPr>
                <w:rtl/>
              </w:rPr>
              <w:t>1. הכנסת</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2</w:t>
            </w:r>
            <w:r w:rsidRPr="003E4F42">
              <w:rPr>
                <w:rtl/>
              </w:rPr>
              <w:t xml:space="preserve">. </w:t>
            </w:r>
            <w:r w:rsidRPr="003E4F42">
              <w:rPr>
                <w:rFonts w:hint="cs"/>
                <w:rtl/>
              </w:rPr>
              <w:t>ועדת הפנים והגנת הסביבה של הכנסת</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 xml:space="preserve">3. </w:t>
            </w:r>
            <w:r w:rsidRPr="003E4F42">
              <w:rPr>
                <w:rtl/>
              </w:rPr>
              <w:t>משרד הפנים</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4</w:t>
            </w:r>
            <w:r w:rsidRPr="003E4F42">
              <w:rPr>
                <w:rtl/>
              </w:rPr>
              <w:t>. בועז יוסף, ראש הוועדה הקרואה בטבריה</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5. אופיר נחמני, מתמודד לראשות העיר טבריה</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pStyle w:val="BodyRuller"/>
              <w:rPr>
                <w:rFonts w:ascii="David" w:hAnsi="David"/>
              </w:rPr>
            </w:pPr>
            <w:r w:rsidRPr="003E4F42">
              <w:rPr>
                <w:rFonts w:ascii="David" w:hAnsi="David"/>
                <w:rtl/>
              </w:rPr>
              <w:t>המשיבים</w:t>
            </w:r>
            <w:r w:rsidRPr="003E4F42">
              <w:rPr>
                <w:rFonts w:ascii="David" w:hAnsi="David" w:hint="cs"/>
                <w:rtl/>
              </w:rPr>
              <w:t xml:space="preserve"> בבג"ץ 5434/23</w:t>
            </w:r>
            <w:r w:rsidRPr="003E4F42">
              <w:rPr>
                <w:rFonts w:ascii="David" w:hAnsi="David"/>
                <w:rtl/>
              </w:rPr>
              <w:t>:</w:t>
            </w:r>
          </w:p>
        </w:tc>
        <w:tc>
          <w:tcPr>
            <w:tcW w:w="5154" w:type="dxa"/>
          </w:tcPr>
          <w:p w:rsidR="00BD3E24" w:rsidRPr="003E4F42" w:rsidRDefault="00BD3E24" w:rsidP="00654DC5">
            <w:pPr>
              <w:pStyle w:val="BodyRuller"/>
            </w:pPr>
            <w:r w:rsidRPr="003E4F42">
              <w:rPr>
                <w:rtl/>
              </w:rPr>
              <w:t>1. הכנסת</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2</w:t>
            </w:r>
            <w:r w:rsidRPr="003E4F42">
              <w:rPr>
                <w:rtl/>
              </w:rPr>
              <w:t>. משרד הפנים</w:t>
            </w:r>
          </w:p>
        </w:tc>
      </w:tr>
      <w:tr w:rsidR="00BD3E24" w:rsidRPr="003E4F42" w:rsidTr="00654DC5">
        <w:trPr>
          <w:trHeight w:val="287"/>
        </w:trPr>
        <w:tc>
          <w:tcPr>
            <w:tcW w:w="3210" w:type="dxa"/>
          </w:tcPr>
          <w:p w:rsidR="00BD3E24" w:rsidRPr="003E4F42" w:rsidRDefault="00BD3E24" w:rsidP="00654DC5">
            <w:pPr>
              <w:pStyle w:val="BodyRuller"/>
              <w:rPr>
                <w:rFonts w:ascii="David" w:hAnsi="David"/>
                <w:rtl/>
              </w:rPr>
            </w:pPr>
          </w:p>
        </w:tc>
        <w:tc>
          <w:tcPr>
            <w:tcW w:w="5154" w:type="dxa"/>
          </w:tcPr>
          <w:p w:rsidR="00BD3E24" w:rsidRPr="003E4F42" w:rsidRDefault="00BD3E24" w:rsidP="00654DC5">
            <w:pPr>
              <w:pStyle w:val="BodyRuller"/>
              <w:rPr>
                <w:rtl/>
              </w:rPr>
            </w:pPr>
            <w:r w:rsidRPr="003E4F42">
              <w:rPr>
                <w:rFonts w:hint="cs"/>
                <w:rtl/>
              </w:rPr>
              <w:t>3</w:t>
            </w:r>
            <w:r w:rsidRPr="003E4F42">
              <w:rPr>
                <w:rtl/>
              </w:rPr>
              <w:t>. בועז יוסף, ראש הוועדה הקרואה בטבריה</w:t>
            </w:r>
          </w:p>
        </w:tc>
      </w:tr>
    </w:tbl>
    <w:p w:rsidR="00BD3E24" w:rsidRPr="003E4F42" w:rsidRDefault="00BD3E24" w:rsidP="00BD3E24">
      <w:pPr>
        <w:pStyle w:val="Ruller3"/>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pStyle w:val="BodyRuller"/>
              <w:rPr>
                <w:rFonts w:ascii="David" w:hAnsi="David"/>
              </w:rPr>
            </w:pPr>
            <w:r w:rsidRPr="003E4F42">
              <w:rPr>
                <w:rFonts w:ascii="David" w:hAnsi="David" w:hint="cs"/>
                <w:rtl/>
              </w:rPr>
              <w:lastRenderedPageBreak/>
              <w:t>המבקשים להצטרף להליך</w:t>
            </w:r>
            <w:r w:rsidRPr="003E4F42">
              <w:rPr>
                <w:rFonts w:ascii="David" w:hAnsi="David"/>
                <w:rtl/>
              </w:rPr>
              <w:t>:</w:t>
            </w:r>
          </w:p>
        </w:tc>
        <w:tc>
          <w:tcPr>
            <w:tcW w:w="5154" w:type="dxa"/>
          </w:tcPr>
          <w:p w:rsidR="00BD3E24" w:rsidRPr="003E4F42" w:rsidRDefault="00BD3E24" w:rsidP="00654DC5">
            <w:pPr>
              <w:pStyle w:val="BodyRuller"/>
              <w:rPr>
                <w:rtl/>
              </w:rPr>
            </w:pPr>
            <w:r w:rsidRPr="003E4F42">
              <w:rPr>
                <w:rFonts w:hint="cs"/>
                <w:rtl/>
              </w:rPr>
              <w:t>1. יוסף בן חמו ו-854 אח'</w:t>
            </w:r>
          </w:p>
          <w:p w:rsidR="00BD3E24" w:rsidRPr="003E4F42" w:rsidRDefault="00BD3E24" w:rsidP="00654DC5">
            <w:pPr>
              <w:pStyle w:val="BodyRuller"/>
              <w:rPr>
                <w:rtl/>
              </w:rPr>
            </w:pPr>
            <w:r w:rsidRPr="003E4F42">
              <w:rPr>
                <w:rFonts w:hint="cs"/>
                <w:rtl/>
              </w:rPr>
              <w:t>2. רון קובי, מתמודד לראשות העיר טבריה</w:t>
            </w:r>
          </w:p>
        </w:tc>
      </w:tr>
    </w:tbl>
    <w:p w:rsidR="00BD3E24" w:rsidRPr="003E4F42" w:rsidRDefault="00BD3E24" w:rsidP="00BD3E24">
      <w:pPr>
        <w:pStyle w:val="Ruller3"/>
      </w:pPr>
    </w:p>
    <w:tbl>
      <w:tblPr>
        <w:bidiVisual/>
        <w:tblW w:w="0" w:type="auto"/>
        <w:tblInd w:w="3209" w:type="dxa"/>
        <w:tblLook w:val="0000" w:firstRow="0" w:lastRow="0" w:firstColumn="0" w:lastColumn="0" w:noHBand="0" w:noVBand="0"/>
      </w:tblPr>
      <w:tblGrid>
        <w:gridCol w:w="5103"/>
      </w:tblGrid>
      <w:tr w:rsidR="00BD3E24" w:rsidRPr="00E0086F" w:rsidTr="00654DC5">
        <w:tc>
          <w:tcPr>
            <w:tcW w:w="5103" w:type="dxa"/>
          </w:tcPr>
          <w:p w:rsidR="00BD3E24" w:rsidRPr="00E0086F" w:rsidRDefault="002C73C2" w:rsidP="00654DC5">
            <w:pPr>
              <w:pStyle w:val="BodyRuller"/>
              <w:rPr>
                <w:rFonts w:ascii="David" w:hAnsi="David"/>
                <w:b/>
                <w:szCs w:val="24"/>
              </w:rPr>
            </w:pPr>
            <w:r w:rsidRPr="00E0086F">
              <w:rPr>
                <w:rFonts w:ascii="David" w:hAnsi="David"/>
                <w:b/>
                <w:szCs w:val="24"/>
                <w:rtl/>
              </w:rPr>
              <w:t>התנגדות לצו על תנאי</w:t>
            </w:r>
          </w:p>
        </w:tc>
      </w:tr>
    </w:tbl>
    <w:p w:rsidR="00BD3E24" w:rsidRPr="003E4F42" w:rsidRDefault="00BD3E24" w:rsidP="00BD3E24">
      <w:pPr>
        <w:pStyle w:val="Ruller3"/>
        <w:rPr>
          <w:rtl/>
        </w:rPr>
      </w:pPr>
    </w:p>
    <w:tbl>
      <w:tblPr>
        <w:bidiVisual/>
        <w:tblW w:w="8363"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125"/>
        <w:gridCol w:w="2977"/>
      </w:tblGrid>
      <w:tr w:rsidR="00BD3E24" w:rsidRPr="003E4F42" w:rsidTr="00BD3E24">
        <w:tc>
          <w:tcPr>
            <w:tcW w:w="3261" w:type="dxa"/>
            <w:tcBorders>
              <w:top w:val="nil"/>
              <w:left w:val="nil"/>
              <w:bottom w:val="nil"/>
              <w:right w:val="nil"/>
            </w:tcBorders>
          </w:tcPr>
          <w:p w:rsidR="00BD3E24" w:rsidRPr="003E4F42" w:rsidRDefault="00BD3E24" w:rsidP="00654DC5">
            <w:pPr>
              <w:pStyle w:val="BodyRuller"/>
              <w:rPr>
                <w:sz w:val="28"/>
              </w:rPr>
            </w:pPr>
            <w:r w:rsidRPr="003E4F42">
              <w:rPr>
                <w:rFonts w:hint="cs"/>
                <w:sz w:val="28"/>
                <w:rtl/>
              </w:rPr>
              <w:t>תאריך הישיבה:</w:t>
            </w:r>
          </w:p>
        </w:tc>
        <w:tc>
          <w:tcPr>
            <w:tcW w:w="2125" w:type="dxa"/>
            <w:tcBorders>
              <w:top w:val="nil"/>
              <w:left w:val="nil"/>
              <w:bottom w:val="nil"/>
              <w:right w:val="nil"/>
            </w:tcBorders>
          </w:tcPr>
          <w:p w:rsidR="00BD3E24" w:rsidRPr="003E4F42" w:rsidRDefault="00BD3E24" w:rsidP="00654DC5">
            <w:pPr>
              <w:pStyle w:val="BodyRuller"/>
              <w:rPr>
                <w:rtl/>
              </w:rPr>
            </w:pPr>
            <w:r w:rsidRPr="003E4F42">
              <w:rPr>
                <w:rFonts w:hint="cs"/>
                <w:rtl/>
              </w:rPr>
              <w:t>י"ב באב התשפ"ג</w:t>
            </w:r>
          </w:p>
        </w:tc>
        <w:tc>
          <w:tcPr>
            <w:tcW w:w="2977" w:type="dxa"/>
            <w:tcBorders>
              <w:top w:val="nil"/>
              <w:left w:val="nil"/>
              <w:bottom w:val="nil"/>
              <w:right w:val="nil"/>
            </w:tcBorders>
          </w:tcPr>
          <w:p w:rsidR="00BD3E24" w:rsidRPr="003E4F42" w:rsidRDefault="00BD3E24" w:rsidP="00654DC5">
            <w:pPr>
              <w:pStyle w:val="BodyRuller"/>
              <w:rPr>
                <w:rFonts w:ascii="David" w:hAnsi="David"/>
                <w:spacing w:val="10"/>
                <w:sz w:val="24"/>
                <w:szCs w:val="24"/>
                <w:rtl/>
              </w:rPr>
            </w:pPr>
            <w:r w:rsidRPr="003E4F42">
              <w:rPr>
                <w:rFonts w:ascii="David" w:hAnsi="David"/>
                <w:spacing w:val="10"/>
                <w:sz w:val="24"/>
                <w:szCs w:val="24"/>
              </w:rPr>
              <w:t>(30.7.2023)</w:t>
            </w:r>
          </w:p>
          <w:p w:rsidR="00BD3E24" w:rsidRPr="003E4F42" w:rsidRDefault="00BD3E24" w:rsidP="00654DC5">
            <w:pPr>
              <w:pStyle w:val="BodyRuller"/>
              <w:rPr>
                <w:rFonts w:ascii="David" w:hAnsi="David"/>
                <w:spacing w:val="10"/>
                <w:sz w:val="24"/>
                <w:szCs w:val="24"/>
              </w:rPr>
            </w:pPr>
          </w:p>
        </w:tc>
      </w:tr>
    </w:tbl>
    <w:p w:rsidR="00BD3E24" w:rsidRPr="003E4F42" w:rsidRDefault="00BD3E24" w:rsidP="00BD3E24">
      <w:pPr>
        <w:tabs>
          <w:tab w:val="left" w:pos="2552"/>
        </w:tabs>
        <w:rPr>
          <w:rtl/>
        </w:rPr>
      </w:pPr>
    </w:p>
    <w:tbl>
      <w:tblPr>
        <w:bidiVisual/>
        <w:tblW w:w="8364" w:type="dxa"/>
        <w:tblLayout w:type="fixed"/>
        <w:tblLook w:val="0000" w:firstRow="0" w:lastRow="0" w:firstColumn="0" w:lastColumn="0" w:noHBand="0" w:noVBand="0"/>
      </w:tblPr>
      <w:tblGrid>
        <w:gridCol w:w="3210"/>
        <w:gridCol w:w="5154"/>
      </w:tblGrid>
      <w:tr w:rsidR="00BD3E24" w:rsidRPr="003E4F42" w:rsidTr="00654DC5">
        <w:trPr>
          <w:trHeight w:val="287"/>
        </w:trPr>
        <w:tc>
          <w:tcPr>
            <w:tcW w:w="3210" w:type="dxa"/>
          </w:tcPr>
          <w:p w:rsidR="00BD3E24" w:rsidRPr="003E4F42" w:rsidRDefault="00BD3E24" w:rsidP="00654DC5">
            <w:pPr>
              <w:tabs>
                <w:tab w:val="left" w:pos="2552"/>
              </w:tabs>
              <w:rPr>
                <w:sz w:val="28"/>
                <w:szCs w:val="28"/>
              </w:rPr>
            </w:pPr>
            <w:r w:rsidRPr="003E4F42">
              <w:rPr>
                <w:rFonts w:ascii="David" w:hAnsi="David"/>
                <w:spacing w:val="10"/>
                <w:sz w:val="28"/>
                <w:szCs w:val="28"/>
                <w:rtl/>
              </w:rPr>
              <w:t>בשם העותרות בבג"ץ 5119/23:</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precasestyle"/>
              <w:ind w:right="0"/>
              <w:rPr>
                <w:rFonts w:ascii="David" w:hAnsi="David"/>
                <w:spacing w:val="10"/>
                <w:sz w:val="28"/>
                <w:rtl/>
              </w:rPr>
            </w:pPr>
            <w:r w:rsidRPr="003E4F42">
              <w:rPr>
                <w:rFonts w:ascii="David" w:hAnsi="David" w:cs="David"/>
                <w:spacing w:val="10"/>
                <w:sz w:val="28"/>
                <w:szCs w:val="28"/>
                <w:rtl/>
              </w:rPr>
              <w:t>עו"ד אביה אלף; עו"ד עומר מקייס</w:t>
            </w:r>
            <w:r w:rsidRPr="003E4F42">
              <w:rPr>
                <w:rFonts w:ascii="David" w:hAnsi="David"/>
                <w:spacing w:val="10"/>
                <w:sz w:val="28"/>
                <w:rtl/>
              </w:rPr>
              <w:t xml:space="preserve">; </w:t>
            </w:r>
          </w:p>
          <w:p w:rsidR="00BD3E24" w:rsidRPr="003E4F42" w:rsidRDefault="00BD3E24" w:rsidP="00654DC5">
            <w:pPr>
              <w:pStyle w:val="precasestyle"/>
              <w:ind w:right="0"/>
              <w:rPr>
                <w:rFonts w:ascii="David" w:hAnsi="David" w:cs="David"/>
                <w:spacing w:val="10"/>
                <w:sz w:val="28"/>
                <w:szCs w:val="28"/>
                <w:rtl/>
              </w:rPr>
            </w:pPr>
            <w:r w:rsidRPr="003E4F42">
              <w:rPr>
                <w:rFonts w:ascii="David" w:hAnsi="David" w:cs="David"/>
                <w:spacing w:val="10"/>
                <w:sz w:val="28"/>
                <w:szCs w:val="28"/>
                <w:rtl/>
              </w:rPr>
              <w:t>עו"ד בעז ארד</w:t>
            </w:r>
          </w:p>
          <w:p w:rsidR="00BD3E24" w:rsidRPr="003E4F42" w:rsidRDefault="00BD3E24" w:rsidP="00654DC5">
            <w:pPr>
              <w:pStyle w:val="precasestyle"/>
              <w:ind w:right="0"/>
              <w:rPr>
                <w:rFonts w:cs="David"/>
                <w:sz w:val="28"/>
                <w:szCs w:val="28"/>
              </w:rPr>
            </w:pPr>
            <w:r w:rsidRPr="003E4F42">
              <w:rPr>
                <w:rFonts w:cs="David"/>
                <w:sz w:val="28"/>
                <w:szCs w:val="28"/>
                <w:rtl/>
              </w:rPr>
              <w:tab/>
            </w:r>
          </w:p>
        </w:tc>
      </w:tr>
      <w:tr w:rsidR="00BD3E24" w:rsidRPr="003E4F42" w:rsidTr="00654DC5">
        <w:trPr>
          <w:trHeight w:val="95"/>
        </w:trPr>
        <w:tc>
          <w:tcPr>
            <w:tcW w:w="3210" w:type="dxa"/>
          </w:tcPr>
          <w:p w:rsidR="00BD3E24" w:rsidRPr="003E4F42" w:rsidRDefault="00BD3E24" w:rsidP="00654DC5">
            <w:pPr>
              <w:tabs>
                <w:tab w:val="left" w:pos="2552"/>
              </w:tabs>
              <w:rPr>
                <w:sz w:val="28"/>
                <w:szCs w:val="28"/>
                <w:rtl/>
              </w:rPr>
            </w:pPr>
            <w:r w:rsidRPr="003E4F42">
              <w:rPr>
                <w:rFonts w:ascii="David" w:hAnsi="David"/>
                <w:spacing w:val="10"/>
                <w:sz w:val="28"/>
                <w:szCs w:val="28"/>
                <w:rtl/>
              </w:rPr>
              <w:t>בשם העותרת בבג"ץ 5120/23:</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BodyRuller"/>
              <w:rPr>
                <w:rFonts w:ascii="David" w:hAnsi="David"/>
                <w:spacing w:val="10"/>
                <w:sz w:val="28"/>
                <w:rtl/>
              </w:rPr>
            </w:pPr>
            <w:r w:rsidRPr="003E4F42">
              <w:rPr>
                <w:rFonts w:ascii="David" w:hAnsi="David"/>
                <w:spacing w:val="10"/>
                <w:sz w:val="28"/>
                <w:rtl/>
              </w:rPr>
              <w:t xml:space="preserve">עו"ד אליעד שרגא; עו"ד תומר נאור; </w:t>
            </w: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 xml:space="preserve">עו"ד רחל אל-שי רוזנפלד </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בשם העותר בבג"ץ 5434/23:</w:t>
            </w:r>
          </w:p>
        </w:tc>
        <w:tc>
          <w:tcPr>
            <w:tcW w:w="5154" w:type="dxa"/>
          </w:tcPr>
          <w:p w:rsidR="00BD3E24" w:rsidRPr="003E4F42" w:rsidRDefault="00BD3E24" w:rsidP="00654DC5">
            <w:pPr>
              <w:pStyle w:val="precasestyle"/>
              <w:ind w:right="0"/>
              <w:rPr>
                <w:rFonts w:ascii="David" w:hAnsi="David" w:cs="David"/>
                <w:spacing w:val="10"/>
                <w:sz w:val="28"/>
                <w:szCs w:val="28"/>
                <w:rtl/>
              </w:rPr>
            </w:pP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בעצמו</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hint="cs"/>
                <w:spacing w:val="10"/>
                <w:sz w:val="28"/>
                <w:szCs w:val="28"/>
                <w:rtl/>
              </w:rPr>
              <w:t>בשם הכנסת:</w:t>
            </w:r>
          </w:p>
        </w:tc>
        <w:tc>
          <w:tcPr>
            <w:tcW w:w="5154" w:type="dxa"/>
          </w:tcPr>
          <w:p w:rsidR="00BD3E24" w:rsidRPr="003E4F42" w:rsidRDefault="00BD3E24" w:rsidP="00654DC5">
            <w:pPr>
              <w:pStyle w:val="BodyRuller"/>
              <w:rPr>
                <w:rFonts w:ascii="David" w:hAnsi="David"/>
                <w:spacing w:val="10"/>
                <w:sz w:val="28"/>
                <w:rtl/>
              </w:rPr>
            </w:pPr>
            <w:r w:rsidRPr="003E4F42">
              <w:rPr>
                <w:rFonts w:ascii="David" w:hAnsi="David"/>
                <w:spacing w:val="10"/>
                <w:sz w:val="28"/>
                <w:rtl/>
              </w:rPr>
              <w:t>עו"ד יצחק ברט</w:t>
            </w:r>
          </w:p>
          <w:p w:rsidR="00BD3E24" w:rsidRPr="003E4F42" w:rsidRDefault="00BD3E24" w:rsidP="00654DC5">
            <w:pPr>
              <w:pStyle w:val="BodyRuller"/>
              <w:rPr>
                <w:rFonts w:ascii="David" w:hAnsi="David"/>
                <w:spacing w:val="10"/>
                <w:sz w:val="28"/>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hint="cs"/>
                <w:spacing w:val="10"/>
                <w:sz w:val="28"/>
                <w:szCs w:val="28"/>
                <w:rtl/>
              </w:rPr>
              <w:t>בשם משיבי הממשלה:</w:t>
            </w:r>
          </w:p>
        </w:tc>
        <w:tc>
          <w:tcPr>
            <w:tcW w:w="5154" w:type="dxa"/>
          </w:tcPr>
          <w:p w:rsidR="00BD3E24" w:rsidRPr="003E4F42" w:rsidRDefault="00BD3E24" w:rsidP="00654DC5">
            <w:pPr>
              <w:pStyle w:val="BodyRuller"/>
              <w:rPr>
                <w:rFonts w:ascii="David" w:hAnsi="David"/>
                <w:spacing w:val="10"/>
                <w:sz w:val="28"/>
                <w:rtl/>
              </w:rPr>
            </w:pPr>
            <w:r w:rsidRPr="003E4F42">
              <w:rPr>
                <w:rFonts w:ascii="David" w:hAnsi="David"/>
                <w:spacing w:val="10"/>
                <w:sz w:val="28"/>
                <w:rtl/>
              </w:rPr>
              <w:t xml:space="preserve">עו"ד שרון רוטשנקר; עו"ד אבי מיליקובסקי; </w:t>
            </w: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עו"ד תהילה רוט; עו"ד יעל קולודני</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בשם המשיב 4 בבג"ץ 5119/23:</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עו"ד אילן בומבך; עו"ד יריב רונן</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בשם המשיב 5 בבג"ץ 5119/23:</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עו"ד אלי אליאס; עו"ד נועה בן-אריה</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בשם המשיב 5 בבג"ץ 5120/23:</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בעצמו</w:t>
            </w:r>
          </w:p>
          <w:p w:rsidR="00BD3E24" w:rsidRPr="003E4F42" w:rsidRDefault="00BD3E24" w:rsidP="00654DC5">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בשם המבקשים להצטרף</w:t>
            </w:r>
            <w:r w:rsidR="000F01C6">
              <w:rPr>
                <w:rFonts w:ascii="David" w:hAnsi="David" w:hint="cs"/>
                <w:spacing w:val="10"/>
                <w:sz w:val="28"/>
                <w:szCs w:val="28"/>
                <w:rtl/>
              </w:rPr>
              <w:t xml:space="preserve"> להליך</w:t>
            </w:r>
            <w:r w:rsidRPr="003E4F42">
              <w:rPr>
                <w:rFonts w:ascii="David" w:hAnsi="David"/>
                <w:spacing w:val="10"/>
                <w:sz w:val="28"/>
                <w:szCs w:val="28"/>
                <w:rtl/>
              </w:rPr>
              <w:t xml:space="preserve"> </w:t>
            </w:r>
            <w:r w:rsidRPr="003E4F42">
              <w:rPr>
                <w:rFonts w:ascii="David" w:hAnsi="David" w:hint="cs"/>
                <w:spacing w:val="10"/>
                <w:sz w:val="28"/>
                <w:rtl/>
              </w:rPr>
              <w:t>1:</w:t>
            </w:r>
          </w:p>
        </w:tc>
        <w:tc>
          <w:tcPr>
            <w:tcW w:w="5154" w:type="dxa"/>
          </w:tcPr>
          <w:p w:rsidR="00C90B73" w:rsidRDefault="00C90B73" w:rsidP="00654DC5">
            <w:pPr>
              <w:pStyle w:val="precasestyle"/>
              <w:ind w:right="0"/>
              <w:rPr>
                <w:rFonts w:ascii="David" w:hAnsi="David" w:cs="David"/>
                <w:spacing w:val="10"/>
                <w:sz w:val="28"/>
                <w:szCs w:val="28"/>
                <w:rtl/>
              </w:rPr>
            </w:pPr>
          </w:p>
          <w:p w:rsidR="00BD3E24" w:rsidRDefault="00BD3E24" w:rsidP="00C90B73">
            <w:pPr>
              <w:pStyle w:val="precasestyle"/>
              <w:ind w:right="0"/>
              <w:rPr>
                <w:rFonts w:ascii="David" w:hAnsi="David" w:cs="David"/>
                <w:spacing w:val="10"/>
                <w:sz w:val="28"/>
                <w:szCs w:val="28"/>
                <w:rtl/>
              </w:rPr>
            </w:pPr>
            <w:r w:rsidRPr="003E4F42">
              <w:rPr>
                <w:rFonts w:ascii="David" w:hAnsi="David" w:cs="David"/>
                <w:spacing w:val="10"/>
                <w:sz w:val="28"/>
                <w:szCs w:val="28"/>
                <w:rtl/>
              </w:rPr>
              <w:t>עו"ד אופיר הלל; עו"ד מוטי בר-לב</w:t>
            </w:r>
          </w:p>
          <w:p w:rsidR="00EF5C63" w:rsidRPr="003E4F42" w:rsidRDefault="00EF5C63" w:rsidP="00C90B73">
            <w:pPr>
              <w:pStyle w:val="precasestyle"/>
              <w:ind w:right="0"/>
              <w:rPr>
                <w:rFonts w:cs="David"/>
                <w:sz w:val="28"/>
                <w:szCs w:val="28"/>
                <w:rtl/>
              </w:rPr>
            </w:pPr>
          </w:p>
        </w:tc>
      </w:tr>
      <w:tr w:rsidR="00BD3E24" w:rsidRPr="003E4F42" w:rsidTr="00654DC5">
        <w:trPr>
          <w:trHeight w:val="95"/>
        </w:trPr>
        <w:tc>
          <w:tcPr>
            <w:tcW w:w="3210" w:type="dxa"/>
          </w:tcPr>
          <w:p w:rsidR="00BD3E24" w:rsidRPr="003E4F42" w:rsidRDefault="00BD3E24" w:rsidP="00654DC5">
            <w:pPr>
              <w:tabs>
                <w:tab w:val="left" w:pos="2552"/>
              </w:tabs>
              <w:rPr>
                <w:rFonts w:ascii="David" w:hAnsi="David"/>
                <w:spacing w:val="10"/>
                <w:sz w:val="28"/>
                <w:szCs w:val="28"/>
                <w:rtl/>
              </w:rPr>
            </w:pPr>
            <w:r w:rsidRPr="003E4F42">
              <w:rPr>
                <w:rFonts w:ascii="David" w:hAnsi="David"/>
                <w:spacing w:val="10"/>
                <w:sz w:val="28"/>
                <w:szCs w:val="28"/>
                <w:rtl/>
              </w:rPr>
              <w:t xml:space="preserve">בשם המבקש להצטרף להליך </w:t>
            </w:r>
            <w:r w:rsidRPr="003E4F42">
              <w:rPr>
                <w:rFonts w:ascii="David" w:hAnsi="David" w:hint="cs"/>
                <w:spacing w:val="10"/>
                <w:sz w:val="28"/>
                <w:rtl/>
              </w:rPr>
              <w:t>2</w:t>
            </w:r>
            <w:r w:rsidRPr="003E4F42">
              <w:rPr>
                <w:rFonts w:ascii="David" w:hAnsi="David"/>
                <w:spacing w:val="10"/>
                <w:sz w:val="28"/>
                <w:szCs w:val="28"/>
                <w:rtl/>
              </w:rPr>
              <w:t>:</w:t>
            </w:r>
          </w:p>
        </w:tc>
        <w:tc>
          <w:tcPr>
            <w:tcW w:w="5154" w:type="dxa"/>
          </w:tcPr>
          <w:p w:rsidR="00BD3E24" w:rsidRPr="003E4F42" w:rsidRDefault="00BD3E24" w:rsidP="00654DC5">
            <w:pPr>
              <w:pStyle w:val="precasestyle"/>
              <w:ind w:right="0"/>
              <w:rPr>
                <w:rFonts w:cs="David"/>
                <w:sz w:val="28"/>
                <w:szCs w:val="28"/>
                <w:rtl/>
              </w:rPr>
            </w:pPr>
          </w:p>
          <w:p w:rsidR="00BD3E24" w:rsidRPr="003E4F42" w:rsidRDefault="00BD3E24" w:rsidP="00654DC5">
            <w:pPr>
              <w:pStyle w:val="precasestyle"/>
              <w:ind w:right="0"/>
              <w:rPr>
                <w:rFonts w:cs="David"/>
                <w:sz w:val="28"/>
                <w:szCs w:val="28"/>
                <w:rtl/>
              </w:rPr>
            </w:pPr>
            <w:r w:rsidRPr="003E4F42">
              <w:rPr>
                <w:rFonts w:ascii="David" w:hAnsi="David" w:cs="David"/>
                <w:spacing w:val="10"/>
                <w:sz w:val="28"/>
                <w:szCs w:val="28"/>
                <w:rtl/>
              </w:rPr>
              <w:t>בעצמו</w:t>
            </w:r>
          </w:p>
        </w:tc>
      </w:tr>
    </w:tbl>
    <w:p w:rsidR="00BD3E24" w:rsidRPr="003E4F42" w:rsidRDefault="00BD3E24" w:rsidP="00BD3E24">
      <w:pPr>
        <w:tabs>
          <w:tab w:val="left" w:pos="2552"/>
        </w:tabs>
        <w:rPr>
          <w:rtl/>
        </w:rPr>
      </w:pPr>
    </w:p>
    <w:p w:rsidR="00BD3E24" w:rsidRPr="003E4F42" w:rsidRDefault="00BD3E24">
      <w:pPr>
        <w:tabs>
          <w:tab w:val="left" w:pos="2552"/>
        </w:tabs>
      </w:pPr>
    </w:p>
    <w:tbl>
      <w:tblPr>
        <w:bidiVisual/>
        <w:tblW w:w="8363" w:type="dxa"/>
        <w:tblLook w:val="0000" w:firstRow="0" w:lastRow="0" w:firstColumn="0" w:lastColumn="0" w:noHBand="0" w:noVBand="0"/>
      </w:tblPr>
      <w:tblGrid>
        <w:gridCol w:w="8363"/>
      </w:tblGrid>
      <w:tr w:rsidR="00036227" w:rsidRPr="003E4F42" w:rsidTr="00D00B1D">
        <w:tc>
          <w:tcPr>
            <w:tcW w:w="9837" w:type="dxa"/>
          </w:tcPr>
          <w:p w:rsidR="00916FF8" w:rsidRPr="003E4F42" w:rsidRDefault="007942F3">
            <w:pPr>
              <w:pStyle w:val="DocumentHead"/>
            </w:pPr>
            <w:bookmarkStart w:id="2" w:name="secretary"/>
            <w:bookmarkStart w:id="3" w:name="BeginProtocol"/>
            <w:bookmarkEnd w:id="2"/>
            <w:bookmarkEnd w:id="3"/>
            <w:r w:rsidRPr="003E4F42">
              <w:rPr>
                <w:rtl/>
              </w:rPr>
              <w:t>פסק-דין</w:t>
            </w:r>
            <w:r w:rsidR="00687669" w:rsidRPr="003E4F42">
              <w:rPr>
                <w:rFonts w:hint="cs"/>
                <w:rtl/>
              </w:rPr>
              <w:t xml:space="preserve"> (נימוקים)</w:t>
            </w:r>
          </w:p>
        </w:tc>
      </w:tr>
    </w:tbl>
    <w:p w:rsidR="0065522F" w:rsidRPr="003E4F42" w:rsidRDefault="0065522F">
      <w:pPr>
        <w:pStyle w:val="BODYVERDICT"/>
      </w:pPr>
    </w:p>
    <w:p w:rsidR="00916FF8" w:rsidRPr="003E4F42" w:rsidRDefault="00E0086F">
      <w:pPr>
        <w:pStyle w:val="BODYVERDICT"/>
        <w:rPr>
          <w:rFonts w:ascii="Century" w:hAnsi="Century" w:cs="Miriam"/>
          <w:b/>
          <w:spacing w:val="0"/>
          <w:szCs w:val="24"/>
          <w:rtl/>
        </w:rPr>
      </w:pPr>
      <w:bookmarkStart w:id="4" w:name="Writer_Name"/>
      <w:bookmarkEnd w:id="4"/>
      <w:r>
        <w:rPr>
          <w:rFonts w:ascii="Century" w:hAnsi="Century" w:cs="Miriam" w:hint="cs"/>
          <w:b/>
          <w:spacing w:val="0"/>
          <w:szCs w:val="24"/>
          <w:u w:val="single"/>
          <w:rtl/>
        </w:rPr>
        <w:t>ממלא מקום הנשיא</w:t>
      </w:r>
      <w:r w:rsidR="007942F3" w:rsidRPr="003E4F42">
        <w:rPr>
          <w:rFonts w:ascii="Century" w:hAnsi="Century" w:cs="Miriam"/>
          <w:b/>
          <w:spacing w:val="0"/>
          <w:szCs w:val="24"/>
          <w:u w:val="single"/>
          <w:rtl/>
        </w:rPr>
        <w:t xml:space="preserve"> ע' פוגלמן</w:t>
      </w:r>
      <w:r w:rsidR="007942F3" w:rsidRPr="003E4F42">
        <w:rPr>
          <w:rFonts w:ascii="Century" w:hAnsi="Century" w:cs="Miriam"/>
          <w:b/>
          <w:spacing w:val="0"/>
          <w:szCs w:val="24"/>
          <w:rtl/>
        </w:rPr>
        <w:t>:</w:t>
      </w:r>
    </w:p>
    <w:p w:rsidR="000B1478" w:rsidRPr="003E4F42" w:rsidRDefault="000B1478" w:rsidP="00A51FAE">
      <w:pPr>
        <w:pStyle w:val="Ruller41"/>
        <w:rPr>
          <w:rtl/>
        </w:rPr>
      </w:pPr>
      <w:bookmarkStart w:id="5" w:name="Start_Write"/>
      <w:bookmarkEnd w:id="5"/>
    </w:p>
    <w:p w:rsidR="001E6B43" w:rsidRPr="003E4F42" w:rsidRDefault="001E6B43" w:rsidP="001E6B43">
      <w:pPr>
        <w:pStyle w:val="Ruller41"/>
        <w:rPr>
          <w:rFonts w:ascii="Century" w:hAnsi="Century"/>
          <w:rtl/>
        </w:rPr>
      </w:pPr>
      <w:r w:rsidRPr="003E4F42">
        <w:rPr>
          <w:rFonts w:ascii="Century" w:hAnsi="Century"/>
          <w:rtl/>
        </w:rPr>
        <w:tab/>
      </w:r>
      <w:r w:rsidRPr="003E4F42">
        <w:rPr>
          <w:rFonts w:ascii="Century" w:hAnsi="Century" w:hint="cs"/>
          <w:rtl/>
        </w:rPr>
        <w:t xml:space="preserve">העתירות שלפנינו מכוונות לחוקתיותו של חוק הרשויות המקומיות (בחירות) (תיקון מס' 53), התשפ"ג-2023 (להלן: </w:t>
      </w:r>
      <w:r w:rsidRPr="003E4F42">
        <w:rPr>
          <w:rFonts w:ascii="Century" w:hAnsi="Century" w:cs="Miriam" w:hint="cs"/>
          <w:b/>
          <w:spacing w:val="0"/>
          <w:szCs w:val="24"/>
          <w:rtl/>
        </w:rPr>
        <w:t xml:space="preserve">תיקון מס' 53 </w:t>
      </w:r>
      <w:r w:rsidRPr="003E4F42">
        <w:rPr>
          <w:rFonts w:ascii="Century" w:hAnsi="Century" w:hint="cs"/>
          <w:rtl/>
        </w:rPr>
        <w:t xml:space="preserve">או </w:t>
      </w:r>
      <w:r w:rsidRPr="003E4F42">
        <w:rPr>
          <w:rFonts w:ascii="Century" w:hAnsi="Century" w:cs="Miriam" w:hint="cs"/>
          <w:b/>
          <w:spacing w:val="0"/>
          <w:szCs w:val="24"/>
          <w:rtl/>
        </w:rPr>
        <w:t>התיקון</w:t>
      </w:r>
      <w:r w:rsidRPr="003E4F42">
        <w:rPr>
          <w:rFonts w:ascii="Century" w:hAnsi="Century" w:hint="cs"/>
          <w:rtl/>
        </w:rPr>
        <w:t xml:space="preserve">) שבמסגרתו תוקן סעיף 7 לחוק הרשויות המקומיות (בחירות), התשכ"ה-1965 (להלן: </w:t>
      </w:r>
      <w:r w:rsidRPr="003E4F42">
        <w:rPr>
          <w:rFonts w:ascii="Century" w:hAnsi="Century" w:cs="Miriam" w:hint="cs"/>
          <w:b/>
          <w:spacing w:val="0"/>
          <w:szCs w:val="24"/>
          <w:rtl/>
        </w:rPr>
        <w:t>חוק הבחירות</w:t>
      </w:r>
      <w:r w:rsidRPr="003E4F42">
        <w:rPr>
          <w:rFonts w:ascii="Century" w:hAnsi="Century" w:hint="cs"/>
          <w:rtl/>
        </w:rPr>
        <w:t xml:space="preserve">). במסגרת התיקון בוטלה המגבלה שהייתה קבועה בסעיף 7(א1) לחוק הבחירות </w:t>
      </w:r>
      <w:r w:rsidRPr="003E4F42">
        <w:rPr>
          <w:rFonts w:ascii="Century" w:hAnsi="Century"/>
          <w:rtl/>
        </w:rPr>
        <w:t>–</w:t>
      </w:r>
      <w:r w:rsidRPr="003E4F42">
        <w:rPr>
          <w:rFonts w:ascii="Century" w:hAnsi="Century" w:hint="cs"/>
          <w:rtl/>
        </w:rPr>
        <w:t xml:space="preserve"> כך שמי שמכהן </w:t>
      </w:r>
      <w:r w:rsidRPr="003E4F42">
        <w:rPr>
          <w:rFonts w:ascii="Century" w:hAnsi="Century" w:hint="cs"/>
          <w:rtl/>
        </w:rPr>
        <w:lastRenderedPageBreak/>
        <w:t xml:space="preserve">כיושב ראש ועדה או כחבר </w:t>
      </w:r>
      <w:r w:rsidRPr="003E4F42">
        <w:rPr>
          <w:rFonts w:ascii="Century" w:hAnsi="Century" w:hint="eastAsia"/>
          <w:rtl/>
        </w:rPr>
        <w:t>ועדה</w:t>
      </w:r>
      <w:r w:rsidRPr="003E4F42">
        <w:rPr>
          <w:rFonts w:ascii="Century" w:hAnsi="Century"/>
          <w:rtl/>
        </w:rPr>
        <w:t xml:space="preserve"> </w:t>
      </w:r>
      <w:r w:rsidRPr="003E4F42">
        <w:rPr>
          <w:rFonts w:ascii="Century" w:hAnsi="Century" w:hint="eastAsia"/>
          <w:rtl/>
        </w:rPr>
        <w:t>למילוי</w:t>
      </w:r>
      <w:r w:rsidRPr="003E4F42">
        <w:rPr>
          <w:rFonts w:ascii="Century" w:hAnsi="Century"/>
          <w:rtl/>
        </w:rPr>
        <w:t xml:space="preserve"> </w:t>
      </w:r>
      <w:r w:rsidRPr="003E4F42">
        <w:rPr>
          <w:rFonts w:ascii="Century" w:hAnsi="Century" w:hint="eastAsia"/>
          <w:rtl/>
        </w:rPr>
        <w:t>תפקידי</w:t>
      </w:r>
      <w:r w:rsidRPr="003E4F42">
        <w:rPr>
          <w:rFonts w:ascii="Century" w:hAnsi="Century"/>
          <w:rtl/>
        </w:rPr>
        <w:t xml:space="preserve"> </w:t>
      </w:r>
      <w:r w:rsidRPr="003E4F42">
        <w:rPr>
          <w:rFonts w:ascii="Century" w:hAnsi="Century" w:hint="eastAsia"/>
          <w:rtl/>
        </w:rPr>
        <w:t>ראש</w:t>
      </w:r>
      <w:r w:rsidRPr="003E4F42">
        <w:rPr>
          <w:rFonts w:ascii="Century" w:hAnsi="Century" w:hint="cs"/>
          <w:rtl/>
        </w:rPr>
        <w:t xml:space="preserve"> רשות מקומית ומועצת הרשות או למילוי תפקידי המועצה (להלן: </w:t>
      </w:r>
      <w:r w:rsidRPr="003E4F42">
        <w:rPr>
          <w:rFonts w:ascii="Century" w:hAnsi="Century" w:cs="Miriam" w:hint="cs"/>
          <w:b/>
          <w:spacing w:val="0"/>
          <w:szCs w:val="24"/>
          <w:rtl/>
        </w:rPr>
        <w:t xml:space="preserve">יושב ראש ועדה ממונה </w:t>
      </w:r>
      <w:r w:rsidRPr="003E4F42">
        <w:rPr>
          <w:rFonts w:ascii="Century" w:hAnsi="Century" w:hint="cs"/>
          <w:rtl/>
        </w:rPr>
        <w:t>ו-</w:t>
      </w:r>
      <w:r w:rsidRPr="003E4F42">
        <w:rPr>
          <w:rFonts w:ascii="Century" w:hAnsi="Century" w:cs="Miriam" w:hint="cs"/>
          <w:b/>
          <w:spacing w:val="0"/>
          <w:szCs w:val="24"/>
          <w:rtl/>
        </w:rPr>
        <w:t>חבר ועדה ממונה</w:t>
      </w:r>
      <w:r w:rsidRPr="003E4F42">
        <w:rPr>
          <w:rFonts w:ascii="Century" w:hAnsi="Century" w:hint="cs"/>
          <w:rtl/>
        </w:rPr>
        <w:t xml:space="preserve"> בהתאמה) יוכל להיכלל ברשימת מועמדים ולהיבחר כחבר מועצה בבחירות שייערכו באותה רשות מקומית לאחר מינויו. </w:t>
      </w:r>
    </w:p>
    <w:p w:rsidR="001E6B43" w:rsidRPr="003E4F42" w:rsidRDefault="001E6B43" w:rsidP="001E6B43">
      <w:pPr>
        <w:pStyle w:val="Ruller41"/>
        <w:rPr>
          <w:rFonts w:ascii="Century" w:hAnsi="Century"/>
          <w:rtl/>
        </w:rPr>
      </w:pPr>
    </w:p>
    <w:p w:rsidR="001E6B43" w:rsidRPr="003E4F42" w:rsidRDefault="001E6B43" w:rsidP="001E6B43">
      <w:pPr>
        <w:pStyle w:val="1"/>
        <w:rPr>
          <w:rtl/>
        </w:rPr>
      </w:pPr>
      <w:r w:rsidRPr="003E4F42">
        <w:rPr>
          <w:rFonts w:hint="cs"/>
          <w:rtl/>
        </w:rPr>
        <w:t xml:space="preserve">רקע </w:t>
      </w:r>
      <w:r w:rsidRPr="003E4F42">
        <w:rPr>
          <w:rtl/>
        </w:rPr>
        <w:t>–</w:t>
      </w:r>
      <w:r w:rsidRPr="003E4F42">
        <w:rPr>
          <w:rFonts w:hint="cs"/>
          <w:rtl/>
        </w:rPr>
        <w:t xml:space="preserve"> ועדות ממונות</w:t>
      </w:r>
    </w:p>
    <w:p w:rsidR="001E6B43" w:rsidRPr="003E4F42" w:rsidRDefault="001E6B43" w:rsidP="001E6B43">
      <w:pPr>
        <w:pStyle w:val="Ruller41"/>
        <w:rPr>
          <w:rFonts w:ascii="Century" w:hAnsi="Century"/>
          <w:rtl/>
        </w:rPr>
      </w:pPr>
    </w:p>
    <w:p w:rsidR="001E6B43" w:rsidRPr="003E4F42" w:rsidRDefault="001E6B43" w:rsidP="001E6B43">
      <w:pPr>
        <w:pStyle w:val="Ruller4"/>
      </w:pPr>
      <w:r w:rsidRPr="003E4F42">
        <w:rPr>
          <w:rFonts w:hint="cs"/>
          <w:rtl/>
        </w:rPr>
        <w:t xml:space="preserve">בשנות ה-80 של המאה הקודמת אירע שינוי ביחסי השלטון המקומי והשלטון המרכזי במדינת ישראל, במסגרתו החל הליך "ביזור", שבגדרו הורחבה האוטונומיה של הרשויות המקומיות (ראו, באופן כללי: בג"ץ 4726/07 </w:t>
      </w:r>
      <w:r w:rsidRPr="003E4F42">
        <w:rPr>
          <w:rFonts w:ascii="Century" w:hAnsi="Century" w:cs="Miriam" w:hint="cs"/>
          <w:b/>
          <w:spacing w:val="0"/>
          <w:sz w:val="22"/>
          <w:szCs w:val="24"/>
          <w:rtl/>
        </w:rPr>
        <w:t>ראש המועצה המקומית ירכא נ' שר הפנים</w:t>
      </w:r>
      <w:r w:rsidRPr="003E4F42">
        <w:rPr>
          <w:rFonts w:ascii="Century" w:hAnsi="Century" w:hint="cs"/>
          <w:sz w:val="22"/>
          <w:rtl/>
        </w:rPr>
        <w:t xml:space="preserve">, פסקה </w:t>
      </w:r>
      <w:r w:rsidRPr="003E4F42">
        <w:rPr>
          <w:rFonts w:hint="cs"/>
          <w:rtl/>
        </w:rPr>
        <w:t xml:space="preserve">7 (19.1.2009) (להלן: עניין </w:t>
      </w:r>
      <w:r w:rsidRPr="003E4F42">
        <w:rPr>
          <w:rFonts w:ascii="Century" w:hAnsi="Century" w:cs="Miriam" w:hint="cs"/>
          <w:b/>
          <w:spacing w:val="0"/>
          <w:sz w:val="22"/>
          <w:szCs w:val="24"/>
          <w:rtl/>
        </w:rPr>
        <w:t>ירכא</w:t>
      </w:r>
      <w:r w:rsidRPr="003E4F42">
        <w:rPr>
          <w:rFonts w:hint="cs"/>
          <w:rtl/>
        </w:rPr>
        <w:t>);</w:t>
      </w:r>
      <w:r w:rsidRPr="003E4F42">
        <w:rPr>
          <w:rtl/>
        </w:rPr>
        <w:t xml:space="preserve"> </w:t>
      </w:r>
      <w:r w:rsidRPr="003E4F42">
        <w:rPr>
          <w:rFonts w:hint="eastAsia"/>
          <w:rtl/>
        </w:rPr>
        <w:t>ישי</w:t>
      </w:r>
      <w:r w:rsidRPr="003E4F42">
        <w:rPr>
          <w:rtl/>
        </w:rPr>
        <w:t xml:space="preserve"> </w:t>
      </w:r>
      <w:r w:rsidRPr="003E4F42">
        <w:rPr>
          <w:rFonts w:hint="eastAsia"/>
          <w:rtl/>
        </w:rPr>
        <w:t>בלנק</w:t>
      </w:r>
      <w:r w:rsidRPr="003E4F42">
        <w:rPr>
          <w:rtl/>
        </w:rPr>
        <w:t xml:space="preserve"> "</w:t>
      </w:r>
      <w:r w:rsidRPr="003E4F42">
        <w:rPr>
          <w:rFonts w:hint="eastAsia"/>
          <w:rtl/>
        </w:rPr>
        <w:t>מקומו</w:t>
      </w:r>
      <w:r w:rsidRPr="003E4F42">
        <w:rPr>
          <w:rtl/>
        </w:rPr>
        <w:t xml:space="preserve"> </w:t>
      </w:r>
      <w:r w:rsidRPr="003E4F42">
        <w:rPr>
          <w:rFonts w:hint="eastAsia"/>
          <w:rtl/>
        </w:rPr>
        <w:t>של</w:t>
      </w:r>
      <w:r w:rsidRPr="003E4F42">
        <w:rPr>
          <w:rtl/>
        </w:rPr>
        <w:t xml:space="preserve"> </w:t>
      </w:r>
      <w:r w:rsidRPr="003E4F42">
        <w:rPr>
          <w:rFonts w:hint="eastAsia"/>
          <w:rtl/>
        </w:rPr>
        <w:t>ה</w:t>
      </w:r>
      <w:r w:rsidRPr="003E4F42">
        <w:rPr>
          <w:rtl/>
        </w:rPr>
        <w:t>'</w:t>
      </w:r>
      <w:r w:rsidRPr="003E4F42">
        <w:rPr>
          <w:rFonts w:hint="eastAsia"/>
          <w:rtl/>
        </w:rPr>
        <w:t>מקומי</w:t>
      </w:r>
      <w:r w:rsidRPr="003E4F42">
        <w:rPr>
          <w:rtl/>
        </w:rPr>
        <w:t xml:space="preserve">': </w:t>
      </w:r>
      <w:r w:rsidRPr="003E4F42">
        <w:rPr>
          <w:rFonts w:hint="eastAsia"/>
          <w:rtl/>
        </w:rPr>
        <w:t>משפט</w:t>
      </w:r>
      <w:r w:rsidRPr="003E4F42">
        <w:rPr>
          <w:rtl/>
        </w:rPr>
        <w:t xml:space="preserve"> </w:t>
      </w:r>
      <w:r w:rsidRPr="003E4F42">
        <w:rPr>
          <w:rFonts w:hint="eastAsia"/>
          <w:rtl/>
        </w:rPr>
        <w:t>השלטון</w:t>
      </w:r>
      <w:r w:rsidRPr="003E4F42">
        <w:rPr>
          <w:rtl/>
        </w:rPr>
        <w:t xml:space="preserve"> </w:t>
      </w:r>
      <w:r w:rsidRPr="003E4F42">
        <w:rPr>
          <w:rFonts w:hint="eastAsia"/>
          <w:rtl/>
        </w:rPr>
        <w:t>המקומי</w:t>
      </w:r>
      <w:r w:rsidRPr="003E4F42">
        <w:rPr>
          <w:rtl/>
        </w:rPr>
        <w:t xml:space="preserve">, </w:t>
      </w:r>
      <w:r w:rsidRPr="003E4F42">
        <w:rPr>
          <w:rFonts w:hint="eastAsia"/>
          <w:rtl/>
        </w:rPr>
        <w:t>ביזור</w:t>
      </w:r>
      <w:r w:rsidRPr="003E4F42">
        <w:rPr>
          <w:rtl/>
        </w:rPr>
        <w:t xml:space="preserve"> </w:t>
      </w:r>
      <w:r w:rsidRPr="003E4F42">
        <w:rPr>
          <w:rFonts w:hint="eastAsia"/>
          <w:rtl/>
        </w:rPr>
        <w:t>ואי</w:t>
      </w:r>
      <w:r w:rsidRPr="003E4F42">
        <w:rPr>
          <w:rtl/>
        </w:rPr>
        <w:t>-</w:t>
      </w:r>
      <w:r w:rsidRPr="003E4F42">
        <w:rPr>
          <w:rFonts w:hint="eastAsia"/>
          <w:rtl/>
        </w:rPr>
        <w:t>שוויון</w:t>
      </w:r>
      <w:r w:rsidRPr="003E4F42">
        <w:rPr>
          <w:rtl/>
        </w:rPr>
        <w:t xml:space="preserve"> </w:t>
      </w:r>
      <w:r w:rsidRPr="003E4F42">
        <w:rPr>
          <w:rFonts w:hint="eastAsia"/>
          <w:rtl/>
        </w:rPr>
        <w:t>מרחבי</w:t>
      </w:r>
      <w:r w:rsidRPr="003E4F42">
        <w:rPr>
          <w:rtl/>
        </w:rPr>
        <w:t xml:space="preserve"> </w:t>
      </w:r>
      <w:r w:rsidRPr="003E4F42">
        <w:rPr>
          <w:rFonts w:hint="eastAsia"/>
          <w:rtl/>
        </w:rPr>
        <w:t>בישראל</w:t>
      </w:r>
      <w:r w:rsidRPr="003E4F42">
        <w:rPr>
          <w:rtl/>
        </w:rPr>
        <w:t xml:space="preserve">" </w:t>
      </w:r>
      <w:r w:rsidRPr="003E4F42">
        <w:rPr>
          <w:rFonts w:ascii="Century" w:hAnsi="Century" w:cs="Miriam" w:hint="eastAsia"/>
          <w:b/>
          <w:spacing w:val="0"/>
          <w:sz w:val="22"/>
          <w:szCs w:val="24"/>
          <w:rtl/>
        </w:rPr>
        <w:t>משפטים</w:t>
      </w:r>
      <w:r w:rsidRPr="003E4F42">
        <w:rPr>
          <w:rtl/>
        </w:rPr>
        <w:t xml:space="preserve"> </w:t>
      </w:r>
      <w:r w:rsidRPr="003E4F42">
        <w:rPr>
          <w:rFonts w:hint="eastAsia"/>
          <w:rtl/>
        </w:rPr>
        <w:t>לד</w:t>
      </w:r>
      <w:r w:rsidRPr="003E4F42">
        <w:rPr>
          <w:rFonts w:hint="cs"/>
          <w:rtl/>
        </w:rPr>
        <w:t>(2)</w:t>
      </w:r>
      <w:r w:rsidRPr="003E4F42">
        <w:rPr>
          <w:rtl/>
        </w:rPr>
        <w:t xml:space="preserve"> 197 (2004)</w:t>
      </w:r>
      <w:r w:rsidRPr="003E4F42">
        <w:rPr>
          <w:rFonts w:hint="cs"/>
          <w:rtl/>
        </w:rPr>
        <w:t xml:space="preserve"> (להלן: </w:t>
      </w:r>
      <w:r w:rsidRPr="003E4F42">
        <w:rPr>
          <w:rFonts w:ascii="Century" w:hAnsi="Century" w:cs="Miriam" w:hint="cs"/>
          <w:b/>
          <w:spacing w:val="0"/>
          <w:sz w:val="22"/>
          <w:szCs w:val="24"/>
          <w:rtl/>
        </w:rPr>
        <w:t>בלנק</w:t>
      </w:r>
      <w:r w:rsidRPr="003E4F42">
        <w:rPr>
          <w:rFonts w:hint="cs"/>
          <w:rtl/>
        </w:rPr>
        <w:t xml:space="preserve">)). רכיב מרכזי בשינוי זה נעוץ בהפחתת התלות של השלטון המקומי במימון השלטון המרכזי ומעבר להתבססות ניכרת על מקורות מימון עצמאיים (דוגמת ארנונה והיטלי השבחה; ראו אצל בלנק, בעמ' 220-219). לצד תהליך זה, נותרו בידי השלטון המרכזי כלי פיקוח ובקרה על פעילותן של הרשויות המקומיות וביניהם ניתן למנות, למשל, את סמכות שר הפנים (להלן גם: </w:t>
      </w:r>
      <w:r w:rsidRPr="003E4F42">
        <w:rPr>
          <w:rFonts w:ascii="Century" w:hAnsi="Century" w:cs="Miriam" w:hint="cs"/>
          <w:b/>
          <w:spacing w:val="0"/>
          <w:sz w:val="22"/>
          <w:szCs w:val="24"/>
          <w:rtl/>
        </w:rPr>
        <w:t>השר</w:t>
      </w:r>
      <w:r w:rsidRPr="003E4F42">
        <w:rPr>
          <w:rFonts w:hint="cs"/>
          <w:rtl/>
        </w:rPr>
        <w:t>) למנות ועדת חקירה לבחינת תפקודה של רשות מקומית (</w:t>
      </w:r>
      <w:r w:rsidRPr="003E4F42">
        <w:rPr>
          <w:rFonts w:hint="eastAsia"/>
          <w:rtl/>
        </w:rPr>
        <w:t>סעיפים</w:t>
      </w:r>
      <w:r w:rsidRPr="003E4F42">
        <w:rPr>
          <w:rtl/>
        </w:rPr>
        <w:t xml:space="preserve"> 143(</w:t>
      </w:r>
      <w:r w:rsidRPr="003E4F42">
        <w:rPr>
          <w:rFonts w:hint="eastAsia"/>
          <w:rtl/>
        </w:rPr>
        <w:t>א</w:t>
      </w:r>
      <w:r w:rsidRPr="003E4F42">
        <w:rPr>
          <w:rtl/>
        </w:rPr>
        <w:t xml:space="preserve">)(3) </w:t>
      </w:r>
      <w:r w:rsidRPr="003E4F42">
        <w:rPr>
          <w:rFonts w:hint="eastAsia"/>
          <w:rtl/>
        </w:rPr>
        <w:t>ו</w:t>
      </w:r>
      <w:r w:rsidRPr="003E4F42">
        <w:rPr>
          <w:rtl/>
        </w:rPr>
        <w:t xml:space="preserve">-144 </w:t>
      </w:r>
      <w:r w:rsidRPr="003E4F42">
        <w:rPr>
          <w:rFonts w:hint="eastAsia"/>
          <w:rtl/>
        </w:rPr>
        <w:t>לפקודת</w:t>
      </w:r>
      <w:r w:rsidRPr="003E4F42">
        <w:rPr>
          <w:rtl/>
        </w:rPr>
        <w:t xml:space="preserve"> </w:t>
      </w:r>
      <w:r w:rsidRPr="003E4F42">
        <w:rPr>
          <w:rFonts w:hint="eastAsia"/>
          <w:rtl/>
        </w:rPr>
        <w:t>העיריות</w:t>
      </w:r>
      <w:r w:rsidRPr="003E4F42">
        <w:rPr>
          <w:rFonts w:hint="cs"/>
          <w:rtl/>
        </w:rPr>
        <w:t xml:space="preserve"> [נוסח חדש] (להלן: </w:t>
      </w:r>
      <w:r w:rsidRPr="003E4F42">
        <w:rPr>
          <w:rFonts w:ascii="Century" w:hAnsi="Century" w:cs="Miriam" w:hint="cs"/>
          <w:b/>
          <w:spacing w:val="0"/>
          <w:sz w:val="22"/>
          <w:szCs w:val="24"/>
          <w:rtl/>
        </w:rPr>
        <w:t>פקודת העיריות</w:t>
      </w:r>
      <w:r w:rsidRPr="003E4F42">
        <w:rPr>
          <w:rFonts w:hint="cs"/>
          <w:rtl/>
        </w:rPr>
        <w:t xml:space="preserve">); </w:t>
      </w:r>
      <w:r w:rsidRPr="003E4F42">
        <w:rPr>
          <w:rFonts w:hint="eastAsia"/>
          <w:rtl/>
        </w:rPr>
        <w:t>סעיף</w:t>
      </w:r>
      <w:r w:rsidRPr="003E4F42">
        <w:rPr>
          <w:rtl/>
        </w:rPr>
        <w:t xml:space="preserve"> 38(</w:t>
      </w:r>
      <w:r w:rsidRPr="003E4F42">
        <w:rPr>
          <w:rFonts w:hint="eastAsia"/>
          <w:rtl/>
        </w:rPr>
        <w:t>א</w:t>
      </w:r>
      <w:r w:rsidRPr="003E4F42">
        <w:rPr>
          <w:rtl/>
        </w:rPr>
        <w:t xml:space="preserve">)(3) </w:t>
      </w:r>
      <w:r w:rsidRPr="003E4F42">
        <w:rPr>
          <w:rFonts w:hint="eastAsia"/>
          <w:rtl/>
        </w:rPr>
        <w:t>לפקודת</w:t>
      </w:r>
      <w:r w:rsidRPr="003E4F42">
        <w:rPr>
          <w:rtl/>
        </w:rPr>
        <w:t xml:space="preserve"> </w:t>
      </w:r>
      <w:r w:rsidRPr="003E4F42">
        <w:rPr>
          <w:rFonts w:hint="eastAsia"/>
          <w:rtl/>
        </w:rPr>
        <w:t>המועצות</w:t>
      </w:r>
      <w:r w:rsidRPr="003E4F42">
        <w:rPr>
          <w:rtl/>
        </w:rPr>
        <w:t xml:space="preserve"> </w:t>
      </w:r>
      <w:r w:rsidRPr="003E4F42">
        <w:rPr>
          <w:rFonts w:hint="eastAsia"/>
          <w:rtl/>
        </w:rPr>
        <w:t>המקומיות</w:t>
      </w:r>
      <w:r w:rsidRPr="003E4F42">
        <w:rPr>
          <w:rFonts w:hint="cs"/>
          <w:rtl/>
        </w:rPr>
        <w:t xml:space="preserve"> [נוסח חדש] (להלן: </w:t>
      </w:r>
      <w:r w:rsidRPr="003E4F42">
        <w:rPr>
          <w:rFonts w:ascii="Century" w:hAnsi="Century" w:cs="Miriam" w:hint="cs"/>
          <w:b/>
          <w:spacing w:val="0"/>
          <w:sz w:val="22"/>
          <w:szCs w:val="24"/>
          <w:rtl/>
        </w:rPr>
        <w:t>פקודת המועצות המקומיות</w:t>
      </w:r>
      <w:r w:rsidRPr="003E4F42">
        <w:rPr>
          <w:rFonts w:hint="cs"/>
          <w:rtl/>
        </w:rPr>
        <w:t>)) וכלים שעניינם אישור ופיקוח על תקציבה של הרשות המקומית (סעיף 206 לפקודת העיריות; סעיפים 27 ו-29 לפקודת המועצות המקומיות). לא כל הרשויות המקומיות שגשגו כפועל יוצא של הליך הביזור. חלקן נקלעו למשבר ניהולי וחלקן למשבר כלכלי שהגיע עד כדי קושי באספקת שירותים מוניציפאליים ואי עמידה בתשלום חובות ושכר לעובדיהן (</w:t>
      </w:r>
      <w:r w:rsidRPr="003E4F42">
        <w:rPr>
          <w:rFonts w:ascii="Century" w:hAnsi="Century" w:hint="cs"/>
          <w:sz w:val="22"/>
          <w:rtl/>
        </w:rPr>
        <w:t xml:space="preserve">בג"ץ 8286/19 </w:t>
      </w:r>
      <w:r w:rsidRPr="003E4F42">
        <w:rPr>
          <w:rFonts w:ascii="Century" w:hAnsi="Century" w:cs="Miriam" w:hint="cs"/>
          <w:b/>
          <w:spacing w:val="0"/>
          <w:sz w:val="22"/>
          <w:szCs w:val="24"/>
          <w:rtl/>
        </w:rPr>
        <w:t>חביש נ' שר הפנים</w:t>
      </w:r>
      <w:r w:rsidRPr="003E4F42">
        <w:rPr>
          <w:rFonts w:ascii="Century" w:hAnsi="Century" w:hint="cs"/>
          <w:sz w:val="22"/>
          <w:rtl/>
        </w:rPr>
        <w:t xml:space="preserve">, פסקה 47 (26.7.2021) (להלן: עניין </w:t>
      </w:r>
      <w:r w:rsidRPr="003E4F42">
        <w:rPr>
          <w:rFonts w:ascii="Century" w:hAnsi="Century" w:cs="Miriam" w:hint="cs"/>
          <w:b/>
          <w:spacing w:val="0"/>
          <w:sz w:val="22"/>
          <w:szCs w:val="24"/>
          <w:rtl/>
        </w:rPr>
        <w:t>חביש</w:t>
      </w:r>
      <w:r w:rsidRPr="003E4F42">
        <w:rPr>
          <w:rFonts w:ascii="Century" w:hAnsi="Century" w:hint="cs"/>
          <w:sz w:val="22"/>
          <w:rtl/>
        </w:rPr>
        <w:t xml:space="preserve">); בג"ץ 6057/07 </w:t>
      </w:r>
      <w:r w:rsidRPr="003E4F42">
        <w:rPr>
          <w:rFonts w:ascii="Century" w:hAnsi="Century" w:cs="Miriam" w:hint="cs"/>
          <w:b/>
          <w:spacing w:val="0"/>
          <w:sz w:val="22"/>
          <w:szCs w:val="24"/>
          <w:rtl/>
        </w:rPr>
        <w:t>חאג' יחיא נ' שר הפנים</w:t>
      </w:r>
      <w:r w:rsidRPr="003E4F42">
        <w:rPr>
          <w:rFonts w:ascii="Century" w:hAnsi="Century" w:hint="cs"/>
          <w:sz w:val="22"/>
          <w:rtl/>
        </w:rPr>
        <w:t xml:space="preserve">, פסקה 7 (23.12.2007) (להלן: עניין </w:t>
      </w:r>
      <w:r w:rsidRPr="003E4F42">
        <w:rPr>
          <w:rFonts w:ascii="Century" w:hAnsi="Century" w:cs="Miriam" w:hint="cs"/>
          <w:b/>
          <w:spacing w:val="0"/>
          <w:sz w:val="22"/>
          <w:szCs w:val="24"/>
          <w:rtl/>
        </w:rPr>
        <w:t>חאג' יחיא</w:t>
      </w:r>
      <w:r w:rsidRPr="003E4F42">
        <w:rPr>
          <w:rFonts w:ascii="Century" w:hAnsi="Century" w:hint="cs"/>
          <w:sz w:val="22"/>
          <w:rtl/>
        </w:rPr>
        <w:t>); עניין</w:t>
      </w:r>
      <w:r w:rsidRPr="003E4F42">
        <w:rPr>
          <w:rFonts w:hint="cs"/>
          <w:rtl/>
        </w:rPr>
        <w:t xml:space="preserve"> </w:t>
      </w:r>
      <w:r w:rsidRPr="003E4F42">
        <w:rPr>
          <w:rFonts w:ascii="Century" w:hAnsi="Century" w:cs="Miriam" w:hint="cs"/>
          <w:b/>
          <w:spacing w:val="0"/>
          <w:sz w:val="22"/>
          <w:szCs w:val="24"/>
          <w:rtl/>
        </w:rPr>
        <w:t>ירכא</w:t>
      </w:r>
      <w:r w:rsidRPr="003E4F42">
        <w:rPr>
          <w:rFonts w:ascii="Century" w:hAnsi="Century" w:hint="cs"/>
          <w:sz w:val="22"/>
          <w:rtl/>
        </w:rPr>
        <w:t>, פסקה 7</w:t>
      </w:r>
      <w:r w:rsidRPr="003E4F42">
        <w:rPr>
          <w:rFonts w:hint="cs"/>
          <w:rtl/>
        </w:rPr>
        <w:t>; איתי בארי ואיתן קואל "</w:t>
      </w:r>
      <w:r w:rsidRPr="003E4F42">
        <w:rPr>
          <w:rFonts w:ascii="FrankRuehl" w:hAnsi="FrankRuehl"/>
          <w:sz w:val="28"/>
          <w:rtl/>
        </w:rPr>
        <w:t>בחירות ללא נבחרי ציבור מכהנים</w:t>
      </w:r>
      <w:r w:rsidRPr="003E4F42">
        <w:rPr>
          <w:rFonts w:ascii="FrankRuehl" w:hAnsi="FrankRuehl" w:hint="cs"/>
          <w:sz w:val="28"/>
          <w:rtl/>
        </w:rPr>
        <w:t>: ו</w:t>
      </w:r>
      <w:r w:rsidRPr="003E4F42">
        <w:rPr>
          <w:rFonts w:ascii="FrankRuehl" w:hAnsi="FrankRuehl"/>
          <w:sz w:val="28"/>
          <w:rtl/>
        </w:rPr>
        <w:t>עדות ממונות והיבטים דמוקרטיים במערכות הבחירות ברשויות המקומיות"</w:t>
      </w:r>
      <w:r w:rsidRPr="003E4F42">
        <w:rPr>
          <w:rFonts w:ascii="FrankRuehl" w:hAnsi="FrankRuehl" w:hint="cs"/>
          <w:sz w:val="28"/>
          <w:rtl/>
        </w:rPr>
        <w:t xml:space="preserve"> </w:t>
      </w:r>
      <w:r w:rsidRPr="003E4F42">
        <w:rPr>
          <w:rFonts w:ascii="Century" w:hAnsi="Century" w:cs="Miriam" w:hint="cs"/>
          <w:b/>
          <w:spacing w:val="0"/>
          <w:sz w:val="22"/>
          <w:szCs w:val="24"/>
          <w:rtl/>
        </w:rPr>
        <w:t xml:space="preserve">עיר ומדינה בישראל: שלטון מקומי לקראת העשור השביעי </w:t>
      </w:r>
      <w:r w:rsidRPr="003E4F42">
        <w:rPr>
          <w:rFonts w:ascii="Century" w:hAnsi="Century" w:hint="cs"/>
          <w:sz w:val="22"/>
          <w:rtl/>
        </w:rPr>
        <w:t>50, 52</w:t>
      </w:r>
      <w:r w:rsidRPr="003E4F42">
        <w:rPr>
          <w:rFonts w:ascii="Century" w:hAnsi="Century" w:cs="Miriam" w:hint="cs"/>
          <w:b/>
          <w:spacing w:val="0"/>
          <w:sz w:val="22"/>
          <w:szCs w:val="24"/>
          <w:rtl/>
        </w:rPr>
        <w:t xml:space="preserve"> </w:t>
      </w:r>
      <w:r w:rsidRPr="003E4F42">
        <w:rPr>
          <w:rFonts w:ascii="Century" w:hAnsi="Century" w:hint="cs"/>
          <w:sz w:val="22"/>
          <w:rtl/>
        </w:rPr>
        <w:t xml:space="preserve">(אברהם בריכטה, ערן ויגודה-גדות וגיא פדה עורכים, 2010) (להלן: </w:t>
      </w:r>
      <w:r w:rsidRPr="003E4F42">
        <w:rPr>
          <w:rFonts w:ascii="Century" w:hAnsi="Century" w:cs="Miriam" w:hint="cs"/>
          <w:b/>
          <w:spacing w:val="0"/>
          <w:sz w:val="22"/>
          <w:szCs w:val="24"/>
          <w:rtl/>
        </w:rPr>
        <w:t>בארי וקואל</w:t>
      </w:r>
      <w:r w:rsidRPr="003E4F42">
        <w:rPr>
          <w:rFonts w:ascii="Century" w:hAnsi="Century" w:hint="cs"/>
          <w:sz w:val="22"/>
          <w:rtl/>
        </w:rPr>
        <w:t>)).</w:t>
      </w:r>
      <w:r w:rsidRPr="003E4F42">
        <w:t xml:space="preserve">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נוכח מגמה זו, ניתנו בידיו של השלטון המרכזי סמכויות שתכליתן לסייע לרשויות מקומיות להשתקם (ראו </w:t>
      </w:r>
      <w:r w:rsidRPr="003E4F42">
        <w:rPr>
          <w:rFonts w:hint="eastAsia"/>
          <w:rtl/>
        </w:rPr>
        <w:t>חוק</w:t>
      </w:r>
      <w:r w:rsidRPr="003E4F42">
        <w:rPr>
          <w:rtl/>
        </w:rPr>
        <w:t xml:space="preserve"> </w:t>
      </w:r>
      <w:r w:rsidRPr="003E4F42">
        <w:rPr>
          <w:rFonts w:hint="eastAsia"/>
          <w:rtl/>
        </w:rPr>
        <w:t>המדיניות</w:t>
      </w:r>
      <w:r w:rsidRPr="003E4F42">
        <w:rPr>
          <w:rtl/>
        </w:rPr>
        <w:t xml:space="preserve"> </w:t>
      </w:r>
      <w:r w:rsidRPr="003E4F42">
        <w:rPr>
          <w:rFonts w:hint="eastAsia"/>
          <w:rtl/>
        </w:rPr>
        <w:t>הכלכלית</w:t>
      </w:r>
      <w:r w:rsidRPr="003E4F42">
        <w:rPr>
          <w:rtl/>
        </w:rPr>
        <w:t xml:space="preserve"> </w:t>
      </w:r>
      <w:r w:rsidRPr="003E4F42">
        <w:rPr>
          <w:rFonts w:hint="eastAsia"/>
          <w:rtl/>
        </w:rPr>
        <w:t>לשנת</w:t>
      </w:r>
      <w:r w:rsidRPr="003E4F42">
        <w:rPr>
          <w:rtl/>
        </w:rPr>
        <w:t xml:space="preserve"> </w:t>
      </w:r>
      <w:r w:rsidRPr="003E4F42">
        <w:rPr>
          <w:rFonts w:hint="eastAsia"/>
          <w:rtl/>
        </w:rPr>
        <w:t>הכספים</w:t>
      </w:r>
      <w:r w:rsidRPr="003E4F42">
        <w:rPr>
          <w:rtl/>
        </w:rPr>
        <w:t xml:space="preserve"> 2004 (</w:t>
      </w:r>
      <w:r w:rsidRPr="003E4F42">
        <w:rPr>
          <w:rFonts w:hint="eastAsia"/>
          <w:rtl/>
        </w:rPr>
        <w:t>תיקוני</w:t>
      </w:r>
      <w:r w:rsidRPr="003E4F42">
        <w:rPr>
          <w:rtl/>
        </w:rPr>
        <w:t xml:space="preserve"> </w:t>
      </w:r>
      <w:r w:rsidRPr="003E4F42">
        <w:rPr>
          <w:rFonts w:hint="eastAsia"/>
          <w:rtl/>
        </w:rPr>
        <w:t>חקיקה</w:t>
      </w:r>
      <w:r w:rsidRPr="003E4F42">
        <w:rPr>
          <w:rtl/>
        </w:rPr>
        <w:t xml:space="preserve">), </w:t>
      </w:r>
      <w:r w:rsidRPr="003E4F42">
        <w:rPr>
          <w:rFonts w:hint="eastAsia"/>
          <w:rtl/>
        </w:rPr>
        <w:t>התשס</w:t>
      </w:r>
      <w:r w:rsidRPr="003E4F42">
        <w:rPr>
          <w:rtl/>
        </w:rPr>
        <w:t>"</w:t>
      </w:r>
      <w:r w:rsidRPr="003E4F42">
        <w:rPr>
          <w:rFonts w:hint="eastAsia"/>
          <w:rtl/>
        </w:rPr>
        <w:t>ד</w:t>
      </w:r>
      <w:r w:rsidRPr="003E4F42">
        <w:rPr>
          <w:rtl/>
        </w:rPr>
        <w:t>-2004</w:t>
      </w:r>
      <w:r w:rsidRPr="003E4F42">
        <w:rPr>
          <w:rFonts w:hint="cs"/>
          <w:rtl/>
        </w:rPr>
        <w:t xml:space="preserve"> שתיקן בין היתר את פקודת העיריות; בג"ץ 350/20 </w:t>
      </w:r>
      <w:r w:rsidRPr="003E4F42">
        <w:rPr>
          <w:rFonts w:ascii="Century" w:hAnsi="Century" w:cs="Miriam" w:hint="cs"/>
          <w:b/>
          <w:spacing w:val="0"/>
          <w:sz w:val="22"/>
          <w:szCs w:val="24"/>
          <w:rtl/>
        </w:rPr>
        <w:t xml:space="preserve">קובי נ' השר </w:t>
      </w:r>
      <w:r w:rsidRPr="003E4F42">
        <w:rPr>
          <w:rFonts w:ascii="Century" w:hAnsi="Century" w:cs="Miriam" w:hint="cs"/>
          <w:b/>
          <w:spacing w:val="0"/>
          <w:sz w:val="22"/>
          <w:szCs w:val="24"/>
          <w:rtl/>
        </w:rPr>
        <w:lastRenderedPageBreak/>
        <w:t>להגנת הסביבה, ירושלים והמורשת</w:t>
      </w:r>
      <w:r w:rsidRPr="003E4F42">
        <w:rPr>
          <w:rFonts w:ascii="Century" w:hAnsi="Century" w:hint="cs"/>
          <w:sz w:val="22"/>
          <w:rtl/>
        </w:rPr>
        <w:t>, פסקה 19 (17.2.2020)</w:t>
      </w:r>
      <w:r w:rsidRPr="003E4F42">
        <w:rPr>
          <w:rFonts w:hint="cs"/>
          <w:rtl/>
        </w:rPr>
        <w:t xml:space="preserve"> (להלן: עניין </w:t>
      </w:r>
      <w:r w:rsidRPr="003E4F42">
        <w:rPr>
          <w:rFonts w:ascii="Century" w:hAnsi="Century" w:cs="Miriam" w:hint="cs"/>
          <w:b/>
          <w:spacing w:val="0"/>
          <w:sz w:val="22"/>
          <w:szCs w:val="24"/>
          <w:rtl/>
        </w:rPr>
        <w:t>קובי</w:t>
      </w:r>
      <w:r w:rsidRPr="003E4F42">
        <w:rPr>
          <w:rFonts w:hint="cs"/>
          <w:rtl/>
        </w:rPr>
        <w:t>)). כך, ניתנה לשלטון המרכזי אפשרות להפקיע מסמכויות הדרג הנבחר והדרג המקצועי ברשות המקומית ולהציב במקומם בעלי תפקידים מטעמו של משרד הפנים (ראו באופן כללי: עדית סדן-סמט "</w:t>
      </w:r>
      <w:r w:rsidRPr="003E4F42">
        <w:rPr>
          <w:rtl/>
        </w:rPr>
        <w:t>תהליך התקצוב ברשויות המקומיות להלכה ולמעשה</w:t>
      </w:r>
      <w:r w:rsidRPr="003E4F42">
        <w:rPr>
          <w:rFonts w:hint="cs"/>
          <w:rtl/>
        </w:rPr>
        <w:t xml:space="preserve">" </w:t>
      </w:r>
      <w:r w:rsidRPr="003E4F42">
        <w:rPr>
          <w:rFonts w:ascii="Century" w:hAnsi="Century" w:cs="Miriam" w:hint="cs"/>
          <w:b/>
          <w:spacing w:val="0"/>
          <w:sz w:val="22"/>
          <w:szCs w:val="24"/>
          <w:rtl/>
        </w:rPr>
        <w:t xml:space="preserve">הכלכלה הפוליטית של הרשויות המקומיות </w:t>
      </w:r>
      <w:r w:rsidRPr="003E4F42">
        <w:rPr>
          <w:rFonts w:ascii="Century" w:hAnsi="Century" w:hint="cs"/>
          <w:sz w:val="22"/>
          <w:rtl/>
        </w:rPr>
        <w:t xml:space="preserve">125, 145-140 (אבי בן בסט ומומי דהן עורכים, 2009); </w:t>
      </w:r>
      <w:r w:rsidRPr="003E4F42">
        <w:rPr>
          <w:rFonts w:hint="cs"/>
          <w:rtl/>
        </w:rPr>
        <w:t xml:space="preserve">מבקר המדינה </w:t>
      </w:r>
      <w:r w:rsidRPr="003E4F42">
        <w:rPr>
          <w:rFonts w:ascii="Century" w:hAnsi="Century" w:cs="Miriam" w:hint="cs"/>
          <w:b/>
          <w:spacing w:val="0"/>
          <w:szCs w:val="24"/>
          <w:rtl/>
        </w:rPr>
        <w:t xml:space="preserve">דוחות על הביקורת </w:t>
      </w:r>
      <w:r w:rsidRPr="003E4F42">
        <w:rPr>
          <w:rFonts w:ascii="Century" w:hAnsi="Century" w:cs="Miriam"/>
          <w:b/>
          <w:spacing w:val="0"/>
          <w:szCs w:val="24"/>
          <w:rtl/>
        </w:rPr>
        <w:t>–</w:t>
      </w:r>
      <w:r w:rsidRPr="003E4F42">
        <w:rPr>
          <w:rFonts w:ascii="Century" w:hAnsi="Century" w:cs="Miriam" w:hint="cs"/>
          <w:b/>
          <w:spacing w:val="0"/>
          <w:szCs w:val="24"/>
          <w:rtl/>
        </w:rPr>
        <w:t xml:space="preserve"> בשלטון המקומי </w:t>
      </w:r>
      <w:r w:rsidRPr="003E4F42">
        <w:rPr>
          <w:rFonts w:ascii="Century" w:hAnsi="Century" w:hint="cs"/>
          <w:rtl/>
        </w:rPr>
        <w:t xml:space="preserve">76 (2009) (להלן: </w:t>
      </w:r>
      <w:r w:rsidRPr="003E4F42">
        <w:rPr>
          <w:rFonts w:ascii="Century" w:hAnsi="Century" w:cs="Miriam" w:hint="cs"/>
          <w:b/>
          <w:spacing w:val="0"/>
          <w:sz w:val="22"/>
          <w:szCs w:val="24"/>
          <w:rtl/>
        </w:rPr>
        <w:t>דו"ח מבקר המדינה</w:t>
      </w:r>
      <w:r w:rsidRPr="003E4F42">
        <w:rPr>
          <w:rFonts w:hint="cs"/>
          <w:rtl/>
        </w:rPr>
        <w:t xml:space="preserve">)). בין סמכויות אלו ניתן למנות את הסמכות החריגה (שמצויה במוקד העתירות דנן) שהוקנתה לשר הפנים למנות ועדה למילוי תפקידי המועצה או ראש המועצה והמועצה (להלן: </w:t>
      </w:r>
      <w:r w:rsidRPr="003E4F42">
        <w:rPr>
          <w:rFonts w:ascii="Century" w:hAnsi="Century" w:cs="Miriam" w:hint="cs"/>
          <w:b/>
          <w:spacing w:val="0"/>
          <w:sz w:val="22"/>
          <w:szCs w:val="24"/>
          <w:rtl/>
        </w:rPr>
        <w:t>ועדות ממונות</w:t>
      </w:r>
      <w:r w:rsidRPr="003E4F42">
        <w:rPr>
          <w:rFonts w:hint="cs"/>
          <w:rtl/>
        </w:rPr>
        <w:t>; יוער כי לעיתים מכונות ועדות אלו גם "ועדות קרואות"). סמכות זו מוגבלת לנסיבות תחומות ומוגדרות</w:t>
      </w:r>
      <w:r w:rsidRPr="003E4F42">
        <w:rPr>
          <w:rFonts w:ascii="Century" w:hAnsi="Century" w:hint="cs"/>
          <w:sz w:val="22"/>
          <w:rtl/>
        </w:rPr>
        <w:t xml:space="preserve">: ראשית, בנסיבות של אי אישורו של תקציב (סעיף 206(ב1) לפקודת העיריות; להרחבה ראו עניין </w:t>
      </w:r>
      <w:r w:rsidRPr="003E4F42">
        <w:rPr>
          <w:rFonts w:ascii="Century" w:hAnsi="Century" w:cs="Miriam" w:hint="cs"/>
          <w:b/>
          <w:spacing w:val="0"/>
          <w:sz w:val="22"/>
          <w:szCs w:val="24"/>
          <w:rtl/>
        </w:rPr>
        <w:t>חביש</w:t>
      </w:r>
      <w:r w:rsidRPr="003E4F42">
        <w:rPr>
          <w:rFonts w:ascii="Century" w:hAnsi="Century" w:hint="cs"/>
          <w:sz w:val="22"/>
          <w:rtl/>
        </w:rPr>
        <w:t>, פסקה 49 וההפניות שם)</w:t>
      </w:r>
      <w:r w:rsidRPr="003E4F42">
        <w:rPr>
          <w:rFonts w:hint="cs"/>
          <w:rtl/>
        </w:rPr>
        <w:t xml:space="preserve">; ושנית, בנסיבות שראש המועצה המקומית וחברי המועצה אינם ממלאים כשורה את התפקידים שהוטלו עליהם בדין (מצב המכונה גם "מועצה מתמעטת או נחשלת", ראו את החלופות שקבועות בסעיף 143 לפקודת העיריות ואת ההוראה המקבילה בסעיף 38 לפקודת המועצות המקומיות; כן ראו בג"ץ 7767/07 </w:t>
      </w:r>
      <w:r w:rsidRPr="003E4F42">
        <w:rPr>
          <w:rFonts w:ascii="Century" w:hAnsi="Century" w:cs="Miriam" w:hint="cs"/>
          <w:b/>
          <w:spacing w:val="0"/>
          <w:sz w:val="22"/>
          <w:szCs w:val="24"/>
          <w:rtl/>
        </w:rPr>
        <w:t>אסרף נ' שר הפנים</w:t>
      </w:r>
      <w:r w:rsidRPr="003E4F42">
        <w:rPr>
          <w:rFonts w:ascii="Century" w:hAnsi="Century" w:hint="cs"/>
          <w:sz w:val="22"/>
          <w:rtl/>
        </w:rPr>
        <w:t xml:space="preserve">, פסקה 8 (27.3.2008) (להלן: עניין </w:t>
      </w:r>
      <w:r w:rsidRPr="003E4F42">
        <w:rPr>
          <w:rFonts w:ascii="Century" w:hAnsi="Century" w:cs="Miriam" w:hint="cs"/>
          <w:b/>
          <w:spacing w:val="0"/>
          <w:sz w:val="22"/>
          <w:szCs w:val="24"/>
          <w:rtl/>
        </w:rPr>
        <w:t>אסרף</w:t>
      </w:r>
      <w:r w:rsidRPr="003E4F42">
        <w:rPr>
          <w:rFonts w:ascii="Century" w:hAnsi="Century" w:hint="cs"/>
          <w:sz w:val="22"/>
          <w:rtl/>
        </w:rPr>
        <w:t>)</w:t>
      </w:r>
      <w:r w:rsidRPr="003E4F42">
        <w:rPr>
          <w:rFonts w:hint="cs"/>
          <w:rtl/>
        </w:rPr>
        <w:t xml:space="preserve">; וראו גם את הסמכות בסעיף 143א לקבוע בתקנות כללים שקובעים באילו שיעורי גירעון תקום חובה למנות ועדה ממונה; עניין </w:t>
      </w:r>
      <w:r w:rsidRPr="003E4F42">
        <w:rPr>
          <w:rFonts w:ascii="Century" w:hAnsi="Century" w:cs="Miriam" w:hint="cs"/>
          <w:b/>
          <w:spacing w:val="0"/>
          <w:sz w:val="22"/>
          <w:szCs w:val="24"/>
          <w:rtl/>
        </w:rPr>
        <w:t>חאג' יחיא</w:t>
      </w:r>
      <w:r w:rsidRPr="003E4F42">
        <w:rPr>
          <w:rFonts w:ascii="Century" w:hAnsi="Century" w:hint="cs"/>
          <w:sz w:val="22"/>
          <w:rtl/>
        </w:rPr>
        <w:t>, פסקה 8</w:t>
      </w:r>
      <w:r w:rsidRPr="003E4F42">
        <w:rPr>
          <w:rFonts w:hint="cs"/>
          <w:rtl/>
        </w:rPr>
        <w:t xml:space="preserve">). לצד נסיבות אלו, ועדה ממונה תמונה על ידי השר גם במקרה של הקמת מועצה חדשה (סעיף 3 לצו המועצות המקומיות, התשי"א-1950 (להלן: </w:t>
      </w:r>
      <w:r w:rsidRPr="003E4F42">
        <w:rPr>
          <w:rFonts w:ascii="Century" w:hAnsi="Century" w:cs="Miriam" w:hint="cs"/>
          <w:b/>
          <w:spacing w:val="0"/>
          <w:sz w:val="22"/>
          <w:szCs w:val="24"/>
          <w:rtl/>
        </w:rPr>
        <w:t>צו המועצות המקומיות</w:t>
      </w:r>
      <w:r w:rsidRPr="003E4F42">
        <w:rPr>
          <w:rFonts w:hint="cs"/>
          <w:rtl/>
        </w:rPr>
        <w:t xml:space="preserve">) ומקבילו בסעיף 5 בצו המועצות המקומיות (מועצות אזוריות), התשי"ח-1958 (להלן: </w:t>
      </w:r>
      <w:r w:rsidRPr="003E4F42">
        <w:rPr>
          <w:rFonts w:ascii="Century" w:hAnsi="Century" w:cs="Miriam" w:hint="cs"/>
          <w:b/>
          <w:spacing w:val="0"/>
          <w:sz w:val="22"/>
          <w:szCs w:val="24"/>
          <w:rtl/>
        </w:rPr>
        <w:t>צו המועצות האזוריות</w:t>
      </w:r>
      <w:r w:rsidRPr="003E4F42">
        <w:rPr>
          <w:rFonts w:hint="cs"/>
          <w:rtl/>
        </w:rPr>
        <w:t xml:space="preserve">)). </w:t>
      </w:r>
    </w:p>
    <w:p w:rsidR="001E6B43" w:rsidRPr="003E4F42" w:rsidRDefault="001E6B43" w:rsidP="001E6B43">
      <w:pPr>
        <w:pStyle w:val="Ruller4"/>
        <w:numPr>
          <w:ilvl w:val="0"/>
          <w:numId w:val="0"/>
        </w:numPr>
      </w:pPr>
    </w:p>
    <w:p w:rsidR="001E6B43" w:rsidRPr="003E4F42" w:rsidRDefault="001E6B43" w:rsidP="001E6B43">
      <w:pPr>
        <w:pStyle w:val="Ruller4"/>
      </w:pPr>
      <w:r w:rsidRPr="003E4F42">
        <w:rPr>
          <w:rFonts w:hint="cs"/>
          <w:rtl/>
        </w:rPr>
        <w:t>הנה כי כן, ברגעים מכוננים בחייה של רשות מקומית (הקמתה מחד גיסא ומשברים חמורים, תקציביים וניהוליים, מאידך גיסא) ניתנה בידיו של שר הפנים הסמכות לקבוע את זהות הנהגתה. סמכות זו נובעת מתפקידו של השלטון המרכזי כמפקח על התנהלות הרשות המקומית ומבטאת איזון עדין בין הזכות לבחור ולהיבחר והאוטונומיה של השלטון המקומי לבין הצורך בקיום שלטון מקומי מתפקד (</w:t>
      </w:r>
      <w:r w:rsidRPr="003E4F42">
        <w:rPr>
          <w:rFonts w:ascii="Century" w:hAnsi="Century" w:hint="cs"/>
          <w:sz w:val="22"/>
          <w:rtl/>
        </w:rPr>
        <w:t>בג</w:t>
      </w:r>
      <w:r w:rsidRPr="003E4F42">
        <w:rPr>
          <w:rFonts w:hint="cs"/>
          <w:rtl/>
        </w:rPr>
        <w:t>"ץ</w:t>
      </w:r>
      <w:r w:rsidRPr="003E4F42">
        <w:rPr>
          <w:rtl/>
        </w:rPr>
        <w:t xml:space="preserve"> 10963/05 </w:t>
      </w:r>
      <w:r w:rsidRPr="003E4F42">
        <w:rPr>
          <w:rFonts w:ascii="Century" w:hAnsi="Century" w:cs="Miriam" w:hint="eastAsia"/>
          <w:b/>
          <w:spacing w:val="0"/>
          <w:sz w:val="22"/>
          <w:szCs w:val="24"/>
          <w:rtl/>
        </w:rPr>
        <w:t>חאג</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שר</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הפנים</w:t>
      </w:r>
      <w:r w:rsidRPr="003E4F42">
        <w:rPr>
          <w:rtl/>
        </w:rPr>
        <w:t xml:space="preserve">, </w:t>
      </w:r>
      <w:r w:rsidRPr="003E4F42">
        <w:rPr>
          <w:rFonts w:hint="eastAsia"/>
          <w:rtl/>
        </w:rPr>
        <w:t>פסקה</w:t>
      </w:r>
      <w:r w:rsidRPr="003E4F42">
        <w:rPr>
          <w:rtl/>
        </w:rPr>
        <w:t xml:space="preserve"> 4 (13.2.2006)</w:t>
      </w:r>
      <w:r w:rsidRPr="003E4F42">
        <w:rPr>
          <w:rFonts w:hint="cs"/>
          <w:rtl/>
        </w:rPr>
        <w:t xml:space="preserve"> (להלן: עניין </w:t>
      </w:r>
      <w:r w:rsidRPr="003E4F42">
        <w:rPr>
          <w:rFonts w:ascii="Century" w:hAnsi="Century" w:cs="Miriam" w:hint="cs"/>
          <w:b/>
          <w:spacing w:val="0"/>
          <w:sz w:val="22"/>
          <w:szCs w:val="24"/>
          <w:rtl/>
        </w:rPr>
        <w:t>חאג'</w:t>
      </w:r>
      <w:r w:rsidRPr="003E4F42">
        <w:rPr>
          <w:rFonts w:hint="cs"/>
          <w:rtl/>
        </w:rPr>
        <w:t xml:space="preserve">)). הסמכות האמורה מצויה בקצה מדרג הסמכויות שניתן בידי השלטון המרכזי על מנת לסייע לרשות מקומית, אך נוכח פגיעתה האנושה בדמוקרטיה המקומית, נקבע כי סמכות זו תופעל "רק באותם המצבים הקשים והקיצוניים אשר בהם אין מנוס מהתערבות כה מהותית בהליך הדמוקרטי" (עניין </w:t>
      </w:r>
      <w:r w:rsidRPr="003E4F42">
        <w:rPr>
          <w:rFonts w:ascii="Century" w:hAnsi="Century" w:cs="Miriam" w:hint="cs"/>
          <w:b/>
          <w:spacing w:val="0"/>
          <w:sz w:val="22"/>
          <w:szCs w:val="24"/>
          <w:rtl/>
        </w:rPr>
        <w:t>חאג' יחיא</w:t>
      </w:r>
      <w:r w:rsidRPr="003E4F42">
        <w:rPr>
          <w:rFonts w:ascii="Century" w:hAnsi="Century" w:hint="cs"/>
          <w:sz w:val="22"/>
          <w:rtl/>
        </w:rPr>
        <w:t>, פסקה 11</w:t>
      </w:r>
      <w:r w:rsidRPr="003E4F42">
        <w:rPr>
          <w:rFonts w:hint="cs"/>
          <w:rtl/>
        </w:rPr>
        <w:t xml:space="preserve">; כן ראו עניין </w:t>
      </w:r>
      <w:r w:rsidRPr="003E4F42">
        <w:rPr>
          <w:rFonts w:ascii="Century" w:hAnsi="Century" w:cs="Miriam" w:hint="cs"/>
          <w:b/>
          <w:spacing w:val="0"/>
          <w:sz w:val="22"/>
          <w:szCs w:val="24"/>
          <w:rtl/>
        </w:rPr>
        <w:t>חביש</w:t>
      </w:r>
      <w:r w:rsidRPr="003E4F42">
        <w:rPr>
          <w:rFonts w:ascii="Century" w:hAnsi="Century" w:hint="cs"/>
          <w:sz w:val="22"/>
          <w:rtl/>
        </w:rPr>
        <w:t xml:space="preserve"> פסקה 50</w:t>
      </w:r>
      <w:r w:rsidRPr="003E4F42">
        <w:rPr>
          <w:rFonts w:hint="cs"/>
          <w:rtl/>
        </w:rPr>
        <w:t xml:space="preserve"> ו-55).</w:t>
      </w:r>
    </w:p>
    <w:p w:rsidR="001E6B43" w:rsidRPr="003E4F42" w:rsidRDefault="001E6B43" w:rsidP="001E6B43">
      <w:pPr>
        <w:pStyle w:val="Ruller4"/>
        <w:numPr>
          <w:ilvl w:val="0"/>
          <w:numId w:val="0"/>
        </w:numPr>
      </w:pPr>
    </w:p>
    <w:p w:rsidR="001E6B43" w:rsidRPr="003E4F42" w:rsidRDefault="001E6B43" w:rsidP="001E6B43">
      <w:pPr>
        <w:pStyle w:val="Ruller4"/>
      </w:pPr>
      <w:r w:rsidRPr="003E4F42">
        <w:rPr>
          <w:rFonts w:hint="cs"/>
          <w:rtl/>
        </w:rPr>
        <w:lastRenderedPageBreak/>
        <w:t xml:space="preserve">בבואו של שר הפנים למנות ועדה ממונה, הוא פועל בהתאם ל"נוהל וקריטריונים למינוי יושבי ראש וחברי ועדות קרואות ולמינוי חברים במועצה ראשונה, לרבות המיועדים להיות ראש המועצה הראשונה וסגנו" (4.2.2008) (להלן: </w:t>
      </w:r>
      <w:r w:rsidRPr="003E4F42">
        <w:rPr>
          <w:rFonts w:ascii="Century" w:hAnsi="Century" w:cs="Miriam" w:hint="cs"/>
          <w:b/>
          <w:spacing w:val="0"/>
          <w:sz w:val="22"/>
          <w:szCs w:val="24"/>
          <w:rtl/>
        </w:rPr>
        <w:t>הנוהל</w:t>
      </w:r>
      <w:r w:rsidRPr="003E4F42">
        <w:rPr>
          <w:rFonts w:hint="cs"/>
          <w:rtl/>
        </w:rPr>
        <w:t xml:space="preserve">), שגובש על דעת היועץ המשפטי לממשלה דאז. כעולה מהנוהל, על מועמד לתפקיד יושב ראש ועדה ממונה להיות בעל ניסיון מוניציפלי או ניהולי של חמש שנים לפחות. הרציונל בהחלפת הדרג הנבחר בדרג מקצועי הוא אפוא העדפת שיקולים מקצועיים ומתן בכורה לטובת הרשות המקומית על פני טובתם האישית-פוליטית של נבחריה. כפי שמציינים בארי וקואל במאמרם שאוזכר לעיל: "ועדה ממונה עשויה להוביל להנחלת תרבות ארגונית פרודוקטיבית, קבלת החלטות אמיצה ועשייה רדיקלית הדרושה לעתים בתהליך הבראה. כגוף ניהולי הזוכה לתמיכה ממשרד הפנים ואינו תלוי בתמיכת הציבור הוועדה הממונה אינה מחויבת למסורות, מדיניות קודמת או בעלי תפקידים מכהנים" (שם, בעמ' 54). כמו כן, יושב ראש ועדה ממונה שעומד בראשות ועדה ממונה משוחרר מכבליהם של אילוצים פוליטיים, ונהנה מליווי ומסיוע של השלטון המרכזי (שם; כן ראו אורי טל "ועדות ממונות (ועדות קרואות)" 9-8 (מרכז המחקר והמידע של הכנסת, 2008); להלן: </w:t>
      </w:r>
      <w:r w:rsidRPr="003E4F42">
        <w:rPr>
          <w:rFonts w:ascii="Century" w:hAnsi="Century" w:cs="Miriam" w:hint="cs"/>
          <w:b/>
          <w:spacing w:val="0"/>
          <w:sz w:val="22"/>
          <w:szCs w:val="24"/>
          <w:rtl/>
        </w:rPr>
        <w:t>דו"ח הממ"מ</w:t>
      </w:r>
      <w:r w:rsidRPr="003E4F42">
        <w:rPr>
          <w:rFonts w:hint="cs"/>
          <w:rtl/>
        </w:rPr>
        <w:t>).</w:t>
      </w:r>
    </w:p>
    <w:p w:rsidR="001E6B43" w:rsidRPr="003E4F42" w:rsidRDefault="001E6B43" w:rsidP="001E6B43">
      <w:pPr>
        <w:pStyle w:val="Ruller4"/>
        <w:numPr>
          <w:ilvl w:val="0"/>
          <w:numId w:val="0"/>
        </w:numPr>
        <w:rPr>
          <w:rtl/>
        </w:rPr>
      </w:pPr>
    </w:p>
    <w:p w:rsidR="001E6B43" w:rsidRPr="003E4F42" w:rsidRDefault="001E6B43" w:rsidP="001E6B43">
      <w:pPr>
        <w:pStyle w:val="1"/>
        <w:rPr>
          <w:rtl/>
        </w:rPr>
      </w:pPr>
      <w:r w:rsidRPr="003E4F42">
        <w:rPr>
          <w:rFonts w:hint="cs"/>
          <w:rtl/>
        </w:rPr>
        <w:t>התמודדות חברי ועדות ממונות בבחירות ברשות המקומית, תיקון מס' 39 ותיקון מס' 53</w:t>
      </w:r>
    </w:p>
    <w:p w:rsidR="001E6B43" w:rsidRPr="003E4F42" w:rsidRDefault="001E6B43" w:rsidP="001E6B43">
      <w:pPr>
        <w:pStyle w:val="Ruller41"/>
      </w:pPr>
    </w:p>
    <w:p w:rsidR="001E6B43" w:rsidRPr="003E4F42" w:rsidRDefault="001E6B43" w:rsidP="001E6B43">
      <w:pPr>
        <w:pStyle w:val="Ruller4"/>
      </w:pPr>
      <w:r w:rsidRPr="003E4F42">
        <w:rPr>
          <w:rFonts w:hint="cs"/>
          <w:rtl/>
        </w:rPr>
        <w:t xml:space="preserve">תיקון מס' 53 שמצוי במוקד העתירות שלפנינו עניינו באפשרותם של חברי ויושבי ראש ועדות ממונות להתמודד בבחירות למועצות המקומיות שבהן כיהנו (במערכת הבחירות שלאחר מינוים). נעמוד בראשית הדברים על המצב החוקי שקדם לתיקון. עד לשנת 2008 לא נקבעה </w:t>
      </w:r>
      <w:r w:rsidRPr="003E4F42">
        <w:rPr>
          <w:rFonts w:ascii="Century" w:hAnsi="Century" w:cs="Miriam" w:hint="cs"/>
          <w:b/>
          <w:spacing w:val="0"/>
          <w:sz w:val="22"/>
          <w:szCs w:val="24"/>
          <w:rtl/>
        </w:rPr>
        <w:t>בחוק</w:t>
      </w:r>
      <w:r w:rsidRPr="003E4F42">
        <w:rPr>
          <w:rFonts w:ascii="Century" w:hAnsi="Century" w:hint="cs"/>
          <w:sz w:val="22"/>
          <w:rtl/>
        </w:rPr>
        <w:t xml:space="preserve"> מניעה על ראשי ועדות ממונות והחברים בהן מלהתמודד בבחירות לרשות המקומית שבה כיהנו (המילה "בחוק" הודגשה מאחר שכפי שארחיב בפרק הדיון, המצב המשפטי הנוהג בשנים שקדמו לשנת 2008 מורכב יותר ולא התברר עד תום בהליכים שלפנינו). בחוזר מנכ"ל "התמודדות בבחירות של ראשי רשויות ממונות סגניהם וחברי מועצות ממונות"</w:t>
      </w:r>
      <w:r w:rsidRPr="003E4F42">
        <w:rPr>
          <w:rFonts w:hint="cs"/>
          <w:rtl/>
        </w:rPr>
        <w:t xml:space="preserve"> נקבע כי "ראש רשות ממונה במועצה ראשונה, סגנו או חבר מועצה ממונה המבקש להתמודד בבחירות לרשות המקומית בה הוא מכהן, יצא לחופשה ללא תשלום מתפקידו ברשות המקומית 100 ימים לפני הבחירות" (מתוך הוראות החוזר כפי שהובא בבג"ץ 6446/00 </w:t>
      </w:r>
      <w:r w:rsidRPr="003E4F42">
        <w:rPr>
          <w:rFonts w:ascii="Century" w:hAnsi="Century" w:cs="Miriam" w:hint="cs"/>
          <w:b/>
          <w:spacing w:val="0"/>
          <w:sz w:val="22"/>
          <w:szCs w:val="24"/>
          <w:rtl/>
        </w:rPr>
        <w:t>קריספל נ' כהן, חבר ועדת הבחירות ביישוב אלעד</w:t>
      </w:r>
      <w:r w:rsidRPr="003E4F42">
        <w:rPr>
          <w:rFonts w:ascii="Century" w:hAnsi="Century" w:hint="cs"/>
          <w:sz w:val="22"/>
          <w:rtl/>
        </w:rPr>
        <w:t>, פ"ד נו(1) 297, 303 (2001</w:t>
      </w:r>
      <w:r w:rsidRPr="003E4F42">
        <w:rPr>
          <w:rFonts w:hint="cs"/>
          <w:rtl/>
        </w:rPr>
        <w:t xml:space="preserve">) (להלן: עניין </w:t>
      </w:r>
      <w:r w:rsidRPr="003E4F42">
        <w:rPr>
          <w:rFonts w:ascii="Century" w:hAnsi="Century" w:cs="Miriam" w:hint="cs"/>
          <w:b/>
          <w:spacing w:val="0"/>
          <w:sz w:val="22"/>
          <w:szCs w:val="24"/>
          <w:rtl/>
        </w:rPr>
        <w:t>קריספל</w:t>
      </w:r>
      <w:r w:rsidRPr="003E4F42">
        <w:rPr>
          <w:rFonts w:hint="cs"/>
          <w:rtl/>
        </w:rPr>
        <w:t xml:space="preserve">)). בהמשך, נקבע בפסק הדין בעניין </w:t>
      </w:r>
      <w:r w:rsidRPr="003E4F42">
        <w:rPr>
          <w:rFonts w:ascii="Century" w:hAnsi="Century" w:cs="Miriam" w:hint="cs"/>
          <w:b/>
          <w:spacing w:val="0"/>
          <w:sz w:val="22"/>
          <w:szCs w:val="24"/>
          <w:rtl/>
        </w:rPr>
        <w:t>קריספל</w:t>
      </w:r>
      <w:r w:rsidRPr="003E4F42">
        <w:rPr>
          <w:rFonts w:ascii="Century" w:hAnsi="Century" w:hint="cs"/>
          <w:sz w:val="22"/>
          <w:rtl/>
        </w:rPr>
        <w:t xml:space="preserve"> כי ההסדר שקבוע ב</w:t>
      </w:r>
      <w:r w:rsidRPr="003E4F42">
        <w:rPr>
          <w:rFonts w:ascii="Century" w:hAnsi="Century" w:hint="eastAsia"/>
          <w:sz w:val="22"/>
          <w:rtl/>
        </w:rPr>
        <w:t>חוק</w:t>
      </w:r>
      <w:r w:rsidRPr="003E4F42">
        <w:rPr>
          <w:rFonts w:ascii="Century" w:hAnsi="Century"/>
          <w:sz w:val="22"/>
          <w:rtl/>
        </w:rPr>
        <w:t xml:space="preserve"> </w:t>
      </w:r>
      <w:r w:rsidRPr="003E4F42">
        <w:rPr>
          <w:rFonts w:ascii="Century" w:hAnsi="Century" w:hint="eastAsia"/>
          <w:sz w:val="22"/>
          <w:rtl/>
        </w:rPr>
        <w:t>הרשויות</w:t>
      </w:r>
      <w:r w:rsidRPr="003E4F42">
        <w:rPr>
          <w:rFonts w:ascii="Century" w:hAnsi="Century"/>
          <w:sz w:val="22"/>
          <w:rtl/>
        </w:rPr>
        <w:t xml:space="preserve"> </w:t>
      </w:r>
      <w:r w:rsidRPr="003E4F42">
        <w:rPr>
          <w:rFonts w:ascii="Century" w:hAnsi="Century" w:hint="eastAsia"/>
          <w:sz w:val="22"/>
          <w:rtl/>
        </w:rPr>
        <w:t>המקומיות</w:t>
      </w:r>
      <w:r w:rsidRPr="003E4F42">
        <w:rPr>
          <w:rFonts w:ascii="Century" w:hAnsi="Century"/>
          <w:sz w:val="22"/>
          <w:rtl/>
        </w:rPr>
        <w:t xml:space="preserve"> (</w:t>
      </w:r>
      <w:r w:rsidRPr="003E4F42">
        <w:rPr>
          <w:rFonts w:ascii="Century" w:hAnsi="Century" w:hint="eastAsia"/>
          <w:sz w:val="22"/>
          <w:rtl/>
        </w:rPr>
        <w:t>הגבלת</w:t>
      </w:r>
      <w:r w:rsidRPr="003E4F42">
        <w:rPr>
          <w:rFonts w:ascii="Century" w:hAnsi="Century"/>
          <w:sz w:val="22"/>
          <w:rtl/>
        </w:rPr>
        <w:t xml:space="preserve"> </w:t>
      </w:r>
      <w:r w:rsidRPr="003E4F42">
        <w:rPr>
          <w:rFonts w:ascii="Century" w:hAnsi="Century" w:hint="eastAsia"/>
          <w:sz w:val="22"/>
          <w:rtl/>
        </w:rPr>
        <w:t>הזכות</w:t>
      </w:r>
      <w:r w:rsidRPr="003E4F42">
        <w:rPr>
          <w:rFonts w:ascii="Century" w:hAnsi="Century"/>
          <w:sz w:val="22"/>
          <w:rtl/>
        </w:rPr>
        <w:t xml:space="preserve"> </w:t>
      </w:r>
      <w:r w:rsidRPr="003E4F42">
        <w:rPr>
          <w:rFonts w:ascii="Century" w:hAnsi="Century" w:hint="eastAsia"/>
          <w:sz w:val="22"/>
          <w:rtl/>
        </w:rPr>
        <w:t>להיבחר</w:t>
      </w:r>
      <w:r w:rsidRPr="003E4F42">
        <w:rPr>
          <w:rFonts w:ascii="Century" w:hAnsi="Century"/>
          <w:sz w:val="22"/>
          <w:rtl/>
        </w:rPr>
        <w:t xml:space="preserve">), </w:t>
      </w:r>
      <w:r w:rsidRPr="003E4F42">
        <w:rPr>
          <w:rFonts w:ascii="Century" w:hAnsi="Century" w:hint="eastAsia"/>
          <w:sz w:val="22"/>
          <w:rtl/>
        </w:rPr>
        <w:t>תשכ</w:t>
      </w:r>
      <w:r w:rsidRPr="003E4F42">
        <w:rPr>
          <w:rFonts w:ascii="Century" w:hAnsi="Century"/>
          <w:sz w:val="22"/>
          <w:rtl/>
        </w:rPr>
        <w:t>"</w:t>
      </w:r>
      <w:r w:rsidRPr="003E4F42">
        <w:rPr>
          <w:rFonts w:ascii="Century" w:hAnsi="Century" w:hint="eastAsia"/>
          <w:sz w:val="22"/>
          <w:rtl/>
        </w:rPr>
        <w:t>ד</w:t>
      </w:r>
      <w:r w:rsidRPr="003E4F42">
        <w:rPr>
          <w:rFonts w:ascii="Century" w:hAnsi="Century"/>
          <w:sz w:val="22"/>
          <w:rtl/>
        </w:rPr>
        <w:t>-1964</w:t>
      </w:r>
      <w:r w:rsidRPr="003E4F42">
        <w:rPr>
          <w:rFonts w:hint="cs"/>
          <w:rtl/>
        </w:rPr>
        <w:t xml:space="preserve"> (להלן: </w:t>
      </w:r>
      <w:r w:rsidRPr="003E4F42">
        <w:rPr>
          <w:rFonts w:ascii="Century" w:hAnsi="Century" w:cs="Miriam" w:hint="cs"/>
          <w:b/>
          <w:spacing w:val="0"/>
          <w:sz w:val="22"/>
          <w:szCs w:val="24"/>
          <w:rtl/>
        </w:rPr>
        <w:t>חוק הגבלת הזכות להיבחר</w:t>
      </w:r>
      <w:r w:rsidRPr="003E4F42">
        <w:rPr>
          <w:rFonts w:hint="cs"/>
          <w:rtl/>
        </w:rPr>
        <w:t xml:space="preserve">) יחול גם בעניינם של ראשי ועדות ממונות. ההסדר קובע, בתמצית, שעובדים ברשות מקומית (בתנאים המפורטים בחוק) </w:t>
      </w:r>
      <w:r w:rsidRPr="003E4F42">
        <w:rPr>
          <w:rFonts w:hint="cs"/>
          <w:rtl/>
        </w:rPr>
        <w:lastRenderedPageBreak/>
        <w:t xml:space="preserve">לא יהיו מועמדים בבחירות לראשות אותה מועצה אלא אם התפטרו לא יאוחר מהיום ה-90 לפני הבחירות (סעיף 2(ב)(1) לחוק; עניין </w:t>
      </w:r>
      <w:r w:rsidRPr="003E4F42">
        <w:rPr>
          <w:rFonts w:ascii="Century" w:hAnsi="Century" w:cs="Miriam" w:hint="cs"/>
          <w:b/>
          <w:spacing w:val="0"/>
          <w:sz w:val="22"/>
          <w:szCs w:val="24"/>
          <w:rtl/>
        </w:rPr>
        <w:t>קריספל</w:t>
      </w:r>
      <w:r w:rsidRPr="003E4F42">
        <w:rPr>
          <w:rFonts w:ascii="Century" w:hAnsi="Century" w:hint="cs"/>
          <w:sz w:val="22"/>
          <w:rtl/>
        </w:rPr>
        <w:t>, בעמ' 306-304)</w:t>
      </w:r>
      <w:r w:rsidRPr="003E4F42">
        <w:rPr>
          <w:rFonts w:hint="cs"/>
          <w:rtl/>
        </w:rPr>
        <w:t>.</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בשנת 2008 הונחה על שולחן הכנסת הצעת חוק הרשויות המקומיות (בחירת ראש הרשות וסגניו וכהונתם) (תיקון </w:t>
      </w:r>
      <w:r w:rsidRPr="003E4F42">
        <w:rPr>
          <w:rtl/>
        </w:rPr>
        <w:t>–</w:t>
      </w:r>
      <w:r w:rsidRPr="003E4F42">
        <w:rPr>
          <w:rFonts w:hint="cs"/>
          <w:rtl/>
        </w:rPr>
        <w:t xml:space="preserve"> יושב ראש ועדה ממונה), התשס"ח-2008 שביקשה לקבוע כי מי שכיהן כיושב ראש ועדה ממונה עובר למועד הבחירות לא יהא זכאי להיבחר כראש רשות באותה רשות מקומית. במסגרת הליכי חקיקת התיקון עמד מציע החוק, חבר הכנסת יורם מרציאנו, על החשש שהממונים על ידי שר הפנים יעסקו בקמפיין בחירות מיום מינוים, חלף עיסוק מקצועי בהשבת הסדר לרשות המקומית (ראו, למשל: פרוטוקול ישיבה 259 של הכנסת ה-17, 78 (16.7.2008); פרוטוקול ישיבה מס' 440 של ועדת הפנים והגנת הסביבה, הכנסת ה-17, 2 (7.9.2008) (להלן: </w:t>
      </w:r>
      <w:r w:rsidRPr="003E4F42">
        <w:rPr>
          <w:rFonts w:ascii="Century" w:hAnsi="Century" w:cs="Miriam" w:hint="cs"/>
          <w:b/>
          <w:spacing w:val="0"/>
          <w:sz w:val="22"/>
          <w:szCs w:val="24"/>
          <w:rtl/>
        </w:rPr>
        <w:t>פרוטוקול הישיבה מיום 7.9.2008</w:t>
      </w:r>
      <w:r w:rsidRPr="003E4F42">
        <w:rPr>
          <w:rFonts w:hint="cs"/>
          <w:rtl/>
        </w:rPr>
        <w:t>)). בדברי ההסבר שצורפו להצעת החוק לקריאה הראשונה צוין כי תכלית התיקון למנוע מתן עדיפות לא הוגנת לחברי ועדות ממונות בבחירות, ולהבטיח ניהול מקצועי של ענייני הרשות המקומית:</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tl/>
        </w:rPr>
        <w:t>מי שמונה לוועדות כאמור ממלא תפקידי מפתח ברשות המקומית בלי שנבחר לכך. כדי למנוע עדיפות לא הוגנת לאותם אנשים בבחירות הראשונות המתקיימות לאחר מינוים, וכדי</w:t>
      </w:r>
      <w:r w:rsidRPr="003E4F42">
        <w:rPr>
          <w:rFonts w:hint="cs"/>
          <w:rtl/>
        </w:rPr>
        <w:t xml:space="preserve"> </w:t>
      </w:r>
      <w:r w:rsidRPr="003E4F42">
        <w:rPr>
          <w:rtl/>
        </w:rPr>
        <w:t>להבטיח ניהול מקצועי של ענייני הרשות המקומית על ידי מי שמונה כאמור ללא צורך בהתחשבות בשיקולים פוליטיים</w:t>
      </w:r>
      <w:r w:rsidRPr="003E4F42">
        <w:rPr>
          <w:rFonts w:hint="cs"/>
          <w:rtl/>
        </w:rPr>
        <w:t xml:space="preserve">, </w:t>
      </w:r>
      <w:r w:rsidRPr="003E4F42">
        <w:rPr>
          <w:rtl/>
        </w:rPr>
        <w:t>מוצע להגביל את התמודדותם בבחירות הראשונות לרשות המקומית שייערכו לאחר מינוים לוועדה</w:t>
      </w:r>
      <w:r w:rsidRPr="003E4F42">
        <w:rPr>
          <w:rFonts w:hint="cs"/>
          <w:rtl/>
        </w:rPr>
        <w:t>".</w:t>
      </w:r>
    </w:p>
    <w:p w:rsidR="001E6B43" w:rsidRPr="003E4F42" w:rsidRDefault="001E6B43" w:rsidP="001E6B43">
      <w:pPr>
        <w:pStyle w:val="Ruller4"/>
        <w:numPr>
          <w:ilvl w:val="0"/>
          <w:numId w:val="0"/>
        </w:numPr>
        <w:rPr>
          <w:rStyle w:val="default"/>
          <w:rFonts w:ascii="Century" w:hAnsi="Century"/>
          <w:sz w:val="22"/>
          <w:shd w:val="clear" w:color="auto" w:fill="FFFF99"/>
          <w:rtl/>
        </w:rPr>
      </w:pPr>
    </w:p>
    <w:p w:rsidR="001E6B43" w:rsidRPr="003E4F42" w:rsidRDefault="001E6B43" w:rsidP="001E6B43">
      <w:pPr>
        <w:pStyle w:val="Ruller41"/>
        <w:rPr>
          <w:rtl/>
        </w:rPr>
      </w:pPr>
      <w:r w:rsidRPr="003E4F42">
        <w:rPr>
          <w:rtl/>
        </w:rPr>
        <w:tab/>
      </w:r>
      <w:r w:rsidRPr="003E4F42">
        <w:rPr>
          <w:rFonts w:hint="cs"/>
          <w:rtl/>
        </w:rPr>
        <w:t xml:space="preserve">הצעת החוק אושרה בוועדה לקריאה שניה ושלישית וזאת לאחר שינוי במועד שהוצע לתחולתה </w:t>
      </w:r>
      <w:r w:rsidRPr="003E4F42">
        <w:rPr>
          <w:rtl/>
        </w:rPr>
        <w:t>–</w:t>
      </w:r>
      <w:r w:rsidRPr="003E4F42">
        <w:rPr>
          <w:rFonts w:hint="cs"/>
          <w:rtl/>
        </w:rPr>
        <w:t xml:space="preserve"> נקבע כי תיקון החוק לא ייכנס לתוקפו לפני הבחירות הקרובות (הן ביחס לבחירות לרשויות המקומיות שהיו עתידות להתקיים מספר ימים לאחר הדיון בוועדה; הן ביחס לבחירות למועצות האזוריות שהיו קבועות כחודשיים לאחר הדיון; פרוטוקול ישיבה מס' 466 של ועדת הפנים והגנת הסביבה, הכנסת ה-17, 4-3 (2.11.2008)). הצעת החוק אושרה במליאת הכנסת בקריאה שניה ושלישית, ופורסמה ברשומות ביום 16.11.2008 (</w:t>
      </w:r>
      <w:r w:rsidRPr="003E4F42">
        <w:rPr>
          <w:rFonts w:hint="eastAsia"/>
          <w:rtl/>
        </w:rPr>
        <w:t>חוק</w:t>
      </w:r>
      <w:r w:rsidRPr="003E4F42">
        <w:rPr>
          <w:rtl/>
        </w:rPr>
        <w:t xml:space="preserve"> </w:t>
      </w:r>
      <w:r w:rsidRPr="003E4F42">
        <w:rPr>
          <w:rFonts w:hint="eastAsia"/>
          <w:rtl/>
        </w:rPr>
        <w:t>הרשויות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בחירות</w:t>
      </w:r>
      <w:r w:rsidRPr="003E4F42">
        <w:rPr>
          <w:rtl/>
        </w:rPr>
        <w:t>) (</w:t>
      </w:r>
      <w:r w:rsidRPr="003E4F42">
        <w:rPr>
          <w:rFonts w:hint="eastAsia"/>
          <w:rtl/>
        </w:rPr>
        <w:t>תיקון</w:t>
      </w:r>
      <w:r w:rsidRPr="003E4F42">
        <w:rPr>
          <w:rtl/>
        </w:rPr>
        <w:t xml:space="preserve"> </w:t>
      </w:r>
      <w:r w:rsidRPr="003E4F42">
        <w:rPr>
          <w:rFonts w:hint="eastAsia"/>
          <w:rtl/>
        </w:rPr>
        <w:t>מס</w:t>
      </w:r>
      <w:r w:rsidRPr="003E4F42">
        <w:rPr>
          <w:rtl/>
        </w:rPr>
        <w:t xml:space="preserve">' 39), </w:t>
      </w:r>
      <w:r w:rsidRPr="003E4F42">
        <w:rPr>
          <w:rFonts w:hint="eastAsia"/>
          <w:rtl/>
        </w:rPr>
        <w:t>התשס</w:t>
      </w:r>
      <w:r w:rsidRPr="003E4F42">
        <w:rPr>
          <w:rtl/>
        </w:rPr>
        <w:t>"</w:t>
      </w:r>
      <w:r w:rsidRPr="003E4F42">
        <w:rPr>
          <w:rFonts w:hint="eastAsia"/>
          <w:rtl/>
        </w:rPr>
        <w:t>ט</w:t>
      </w:r>
      <w:r w:rsidRPr="003E4F42">
        <w:rPr>
          <w:rtl/>
        </w:rPr>
        <w:t>-2008</w:t>
      </w:r>
      <w:r w:rsidRPr="003E4F42">
        <w:rPr>
          <w:rFonts w:hint="cs"/>
          <w:rtl/>
        </w:rPr>
        <w:t xml:space="preserve">; להלן: </w:t>
      </w:r>
      <w:r w:rsidRPr="003E4F42">
        <w:rPr>
          <w:rFonts w:ascii="Century" w:hAnsi="Century" w:cs="Miriam" w:hint="cs"/>
          <w:b/>
          <w:spacing w:val="0"/>
          <w:szCs w:val="24"/>
          <w:rtl/>
        </w:rPr>
        <w:t>תיקון מס' 39</w:t>
      </w:r>
      <w:r w:rsidRPr="003E4F42">
        <w:rPr>
          <w:rFonts w:hint="cs"/>
          <w:rtl/>
        </w:rPr>
        <w:t xml:space="preserve">). תיקון זה הוסיף, בעיקרם של דברים, לחוק הבחירות את סעיף 7(א1), שלשונו: </w:t>
      </w:r>
    </w:p>
    <w:p w:rsidR="001E6B43" w:rsidRPr="003E4F42" w:rsidRDefault="001E6B43" w:rsidP="001E6B43">
      <w:pPr>
        <w:pStyle w:val="Ruller41"/>
        <w:rPr>
          <w:rtl/>
        </w:rPr>
      </w:pPr>
    </w:p>
    <w:tbl>
      <w:tblPr>
        <w:bidiVisual/>
        <w:tblW w:w="0" w:type="auto"/>
        <w:jc w:val="center"/>
        <w:tblLook w:val="01E0" w:firstRow="1" w:lastRow="1" w:firstColumn="1" w:lastColumn="1" w:noHBand="0" w:noVBand="0"/>
      </w:tblPr>
      <w:tblGrid>
        <w:gridCol w:w="1276"/>
        <w:gridCol w:w="4253"/>
      </w:tblGrid>
      <w:tr w:rsidR="001E6B43" w:rsidRPr="003E4F42" w:rsidTr="00654DC5">
        <w:trPr>
          <w:jc w:val="center"/>
        </w:trPr>
        <w:tc>
          <w:tcPr>
            <w:tcW w:w="1276" w:type="dxa"/>
          </w:tcPr>
          <w:p w:rsidR="001E6B43" w:rsidRPr="003E4F42" w:rsidRDefault="001E6B43" w:rsidP="00654DC5">
            <w:pPr>
              <w:spacing w:before="80" w:after="120" w:line="160" w:lineRule="exact"/>
              <w:rPr>
                <w:rFonts w:cs="Miriam"/>
                <w:sz w:val="24"/>
                <w:szCs w:val="20"/>
              </w:rPr>
            </w:pPr>
            <w:r w:rsidRPr="003E4F42">
              <w:rPr>
                <w:rFonts w:cs="Miriam" w:hint="cs"/>
                <w:sz w:val="24"/>
                <w:szCs w:val="20"/>
                <w:rtl/>
              </w:rPr>
              <w:t>הזכות להיבחר</w:t>
            </w:r>
          </w:p>
        </w:tc>
        <w:tc>
          <w:tcPr>
            <w:tcW w:w="4253" w:type="dxa"/>
          </w:tcPr>
          <w:p w:rsidR="001E6B43" w:rsidRPr="003E4F42" w:rsidRDefault="001E6B43" w:rsidP="00654DC5">
            <w:pPr>
              <w:pStyle w:val="Ruller41"/>
              <w:spacing w:line="240" w:lineRule="auto"/>
              <w:rPr>
                <w:rFonts w:ascii="Century" w:hAnsi="Century"/>
                <w:rtl/>
              </w:rPr>
            </w:pPr>
            <w:r w:rsidRPr="003E4F42">
              <w:rPr>
                <w:rFonts w:ascii="Century" w:hAnsi="Century" w:hint="cs"/>
                <w:rtl/>
              </w:rPr>
              <w:t xml:space="preserve">7 (א) זכאי להיכלל ברשימת מועמדים ולהיבחר חבר המועצה מי שנתקיימו בו </w:t>
            </w:r>
            <w:r w:rsidRPr="003E4F42">
              <w:rPr>
                <w:rFonts w:ascii="Century" w:hAnsi="Century" w:hint="cs"/>
                <w:rtl/>
              </w:rPr>
              <w:lastRenderedPageBreak/>
              <w:t>הוראות סעיף קטן זה וכפוף להוראות סעיפים קטנים (א1), (א2) ו-(ב):</w:t>
            </w:r>
          </w:p>
          <w:p w:rsidR="001E6B43" w:rsidRPr="003E4F42" w:rsidRDefault="001E6B43" w:rsidP="00654DC5">
            <w:pPr>
              <w:pStyle w:val="Ruller41"/>
              <w:spacing w:line="240" w:lineRule="auto"/>
              <w:ind w:left="715" w:hanging="715"/>
              <w:rPr>
                <w:rFonts w:ascii="Century" w:hAnsi="Century"/>
                <w:rtl/>
              </w:rPr>
            </w:pPr>
            <w:r w:rsidRPr="003E4F42">
              <w:rPr>
                <w:rFonts w:ascii="Century" w:hAnsi="Century" w:hint="cs"/>
                <w:rtl/>
              </w:rPr>
              <w:t xml:space="preserve">    (א1) (1) </w:t>
            </w:r>
            <w:r w:rsidRPr="003E4F42">
              <w:rPr>
                <w:rFonts w:ascii="Century" w:hAnsi="Century" w:hint="eastAsia"/>
                <w:rtl/>
              </w:rPr>
              <w:t>מי</w:t>
            </w:r>
            <w:r w:rsidRPr="003E4F42">
              <w:rPr>
                <w:rFonts w:ascii="Century" w:hAnsi="Century"/>
                <w:rtl/>
              </w:rPr>
              <w:t xml:space="preserve"> </w:t>
            </w:r>
            <w:r w:rsidRPr="003E4F42">
              <w:rPr>
                <w:rFonts w:ascii="Century" w:hAnsi="Century" w:hint="eastAsia"/>
                <w:rtl/>
              </w:rPr>
              <w:t>שכיהן</w:t>
            </w:r>
            <w:r w:rsidRPr="003E4F42">
              <w:rPr>
                <w:rFonts w:ascii="Century" w:hAnsi="Century"/>
                <w:rtl/>
              </w:rPr>
              <w:t xml:space="preserve"> </w:t>
            </w:r>
            <w:r w:rsidRPr="003E4F42">
              <w:rPr>
                <w:rFonts w:ascii="Century" w:hAnsi="Century" w:hint="eastAsia"/>
                <w:rtl/>
              </w:rPr>
              <w:t>כיושב</w:t>
            </w:r>
            <w:r w:rsidRPr="003E4F42">
              <w:rPr>
                <w:rFonts w:ascii="Century" w:hAnsi="Century"/>
                <w:rtl/>
              </w:rPr>
              <w:t xml:space="preserve"> </w:t>
            </w:r>
            <w:r w:rsidRPr="003E4F42">
              <w:rPr>
                <w:rFonts w:ascii="Century" w:hAnsi="Century" w:hint="eastAsia"/>
                <w:rtl/>
              </w:rPr>
              <w:t>ראש</w:t>
            </w:r>
            <w:r w:rsidRPr="003E4F42">
              <w:rPr>
                <w:rFonts w:ascii="Century" w:hAnsi="Century"/>
                <w:rtl/>
              </w:rPr>
              <w:t xml:space="preserve"> </w:t>
            </w:r>
            <w:r w:rsidRPr="003E4F42">
              <w:rPr>
                <w:rFonts w:ascii="Century" w:hAnsi="Century" w:hint="eastAsia"/>
                <w:rtl/>
              </w:rPr>
              <w:t>ועדה</w:t>
            </w:r>
            <w:r w:rsidRPr="003E4F42">
              <w:rPr>
                <w:rFonts w:ascii="Century" w:hAnsi="Century"/>
                <w:rtl/>
              </w:rPr>
              <w:t xml:space="preserve"> </w:t>
            </w:r>
            <w:r w:rsidRPr="003E4F42">
              <w:rPr>
                <w:rFonts w:ascii="Century" w:hAnsi="Century" w:hint="eastAsia"/>
                <w:rtl/>
              </w:rPr>
              <w:t>או</w:t>
            </w:r>
            <w:r w:rsidRPr="003E4F42">
              <w:rPr>
                <w:rFonts w:ascii="Century" w:hAnsi="Century"/>
                <w:rtl/>
              </w:rPr>
              <w:t xml:space="preserve"> </w:t>
            </w:r>
            <w:r w:rsidRPr="003E4F42">
              <w:rPr>
                <w:rFonts w:ascii="Century" w:hAnsi="Century" w:hint="eastAsia"/>
                <w:rtl/>
              </w:rPr>
              <w:t>כחבר</w:t>
            </w:r>
            <w:r w:rsidRPr="003E4F42">
              <w:rPr>
                <w:rFonts w:ascii="Century" w:hAnsi="Century"/>
                <w:rtl/>
              </w:rPr>
              <w:t xml:space="preserve"> </w:t>
            </w:r>
            <w:r w:rsidRPr="003E4F42">
              <w:rPr>
                <w:rFonts w:ascii="Century" w:hAnsi="Century" w:hint="eastAsia"/>
                <w:rtl/>
              </w:rPr>
              <w:t>ועדה</w:t>
            </w:r>
            <w:r w:rsidRPr="003E4F42">
              <w:rPr>
                <w:rFonts w:ascii="Century" w:hAnsi="Century"/>
                <w:rtl/>
              </w:rPr>
              <w:t xml:space="preserve"> </w:t>
            </w:r>
            <w:r w:rsidRPr="003E4F42">
              <w:rPr>
                <w:rFonts w:ascii="Century" w:hAnsi="Century" w:hint="eastAsia"/>
                <w:rtl/>
              </w:rPr>
              <w:t>למילוי</w:t>
            </w:r>
            <w:r w:rsidRPr="003E4F42">
              <w:rPr>
                <w:rFonts w:ascii="Century" w:hAnsi="Century"/>
                <w:rtl/>
              </w:rPr>
              <w:t xml:space="preserve"> </w:t>
            </w:r>
            <w:r w:rsidRPr="003E4F42">
              <w:rPr>
                <w:rFonts w:ascii="Century" w:hAnsi="Century" w:hint="eastAsia"/>
                <w:rtl/>
              </w:rPr>
              <w:t>תפקידי</w:t>
            </w:r>
            <w:r w:rsidRPr="003E4F42">
              <w:rPr>
                <w:rFonts w:ascii="Century" w:hAnsi="Century"/>
                <w:rtl/>
              </w:rPr>
              <w:t xml:space="preserve"> </w:t>
            </w:r>
            <w:r w:rsidRPr="003E4F42">
              <w:rPr>
                <w:rFonts w:ascii="Century" w:hAnsi="Century" w:hint="eastAsia"/>
                <w:rtl/>
              </w:rPr>
              <w:t>ראש</w:t>
            </w:r>
            <w:r w:rsidRPr="003E4F42">
              <w:rPr>
                <w:rFonts w:ascii="Century" w:hAnsi="Century" w:hint="cs"/>
                <w:rtl/>
              </w:rPr>
              <w:t xml:space="preserve"> </w:t>
            </w:r>
            <w:r w:rsidRPr="003E4F42">
              <w:rPr>
                <w:rFonts w:ascii="Century" w:hAnsi="Century" w:hint="eastAsia"/>
                <w:rtl/>
              </w:rPr>
              <w:t>רשות</w:t>
            </w:r>
            <w:r w:rsidRPr="003E4F42">
              <w:rPr>
                <w:rFonts w:ascii="Century" w:hAnsi="Century"/>
                <w:rtl/>
              </w:rPr>
              <w:t xml:space="preserve"> </w:t>
            </w:r>
            <w:r w:rsidRPr="003E4F42">
              <w:rPr>
                <w:rFonts w:ascii="Century" w:hAnsi="Century" w:hint="eastAsia"/>
                <w:rtl/>
              </w:rPr>
              <w:t>מקומית</w:t>
            </w:r>
            <w:r w:rsidRPr="003E4F42">
              <w:rPr>
                <w:rFonts w:ascii="Century" w:hAnsi="Century"/>
                <w:rtl/>
              </w:rPr>
              <w:t xml:space="preserve"> </w:t>
            </w:r>
            <w:r w:rsidRPr="003E4F42">
              <w:rPr>
                <w:rFonts w:ascii="Century" w:hAnsi="Century" w:hint="eastAsia"/>
                <w:rtl/>
              </w:rPr>
              <w:t>ומועצת</w:t>
            </w:r>
            <w:r w:rsidRPr="003E4F42">
              <w:rPr>
                <w:rFonts w:ascii="Century" w:hAnsi="Century"/>
                <w:rtl/>
              </w:rPr>
              <w:t xml:space="preserve"> </w:t>
            </w:r>
            <w:r w:rsidRPr="003E4F42">
              <w:rPr>
                <w:rFonts w:ascii="Century" w:hAnsi="Century" w:hint="eastAsia"/>
                <w:rtl/>
              </w:rPr>
              <w:t>הרשות</w:t>
            </w:r>
            <w:r w:rsidRPr="003E4F42">
              <w:rPr>
                <w:rFonts w:ascii="Century" w:hAnsi="Century"/>
                <w:rtl/>
              </w:rPr>
              <w:t xml:space="preserve">, </w:t>
            </w:r>
            <w:r w:rsidRPr="003E4F42">
              <w:rPr>
                <w:rFonts w:ascii="Century" w:hAnsi="Century" w:hint="eastAsia"/>
                <w:rtl/>
              </w:rPr>
              <w:t>או</w:t>
            </w:r>
            <w:r w:rsidRPr="003E4F42">
              <w:rPr>
                <w:rFonts w:ascii="Century" w:hAnsi="Century"/>
                <w:rtl/>
              </w:rPr>
              <w:t xml:space="preserve"> </w:t>
            </w:r>
            <w:r w:rsidRPr="003E4F42">
              <w:rPr>
                <w:rFonts w:ascii="Century" w:hAnsi="Century" w:hint="eastAsia"/>
                <w:rtl/>
              </w:rPr>
              <w:t>למילוי</w:t>
            </w:r>
            <w:r w:rsidRPr="003E4F42">
              <w:rPr>
                <w:rFonts w:ascii="Century" w:hAnsi="Century"/>
                <w:rtl/>
              </w:rPr>
              <w:t xml:space="preserve"> </w:t>
            </w:r>
            <w:r w:rsidRPr="003E4F42">
              <w:rPr>
                <w:rFonts w:ascii="Century" w:hAnsi="Century" w:hint="eastAsia"/>
                <w:rtl/>
              </w:rPr>
              <w:t>תפקידי</w:t>
            </w:r>
            <w:r w:rsidRPr="003E4F42">
              <w:rPr>
                <w:rFonts w:ascii="Century" w:hAnsi="Century"/>
                <w:rtl/>
              </w:rPr>
              <w:t xml:space="preserve"> </w:t>
            </w:r>
            <w:r w:rsidRPr="003E4F42">
              <w:rPr>
                <w:rFonts w:ascii="Century" w:hAnsi="Century" w:hint="eastAsia"/>
                <w:rtl/>
              </w:rPr>
              <w:t>המועצה</w:t>
            </w:r>
            <w:r w:rsidRPr="003E4F42">
              <w:rPr>
                <w:rFonts w:ascii="Century" w:hAnsi="Century"/>
                <w:rtl/>
              </w:rPr>
              <w:t xml:space="preserve">, </w:t>
            </w:r>
            <w:r w:rsidRPr="003E4F42">
              <w:rPr>
                <w:rFonts w:ascii="Century" w:hAnsi="Century" w:hint="eastAsia"/>
                <w:rtl/>
              </w:rPr>
              <w:t>בהתאם</w:t>
            </w:r>
            <w:r w:rsidRPr="003E4F42">
              <w:rPr>
                <w:rFonts w:ascii="Century" w:hAnsi="Century" w:hint="cs"/>
                <w:rtl/>
              </w:rPr>
              <w:t xml:space="preserve"> </w:t>
            </w:r>
            <w:r w:rsidRPr="003E4F42">
              <w:rPr>
                <w:rFonts w:ascii="Century" w:hAnsi="Century" w:hint="eastAsia"/>
                <w:rtl/>
              </w:rPr>
              <w:t>להוראות</w:t>
            </w:r>
            <w:r w:rsidRPr="003E4F42">
              <w:rPr>
                <w:rFonts w:ascii="Century" w:hAnsi="Century"/>
                <w:rtl/>
              </w:rPr>
              <w:t xml:space="preserve"> </w:t>
            </w:r>
            <w:r w:rsidRPr="003E4F42">
              <w:rPr>
                <w:rFonts w:ascii="Century" w:hAnsi="Century" w:hint="eastAsia"/>
                <w:rtl/>
              </w:rPr>
              <w:t>לפי</w:t>
            </w:r>
            <w:r w:rsidRPr="003E4F42">
              <w:rPr>
                <w:rFonts w:ascii="Century" w:hAnsi="Century"/>
                <w:rtl/>
              </w:rPr>
              <w:t xml:space="preserve"> </w:t>
            </w:r>
            <w:r w:rsidRPr="003E4F42">
              <w:rPr>
                <w:rFonts w:ascii="Century" w:hAnsi="Century" w:hint="eastAsia"/>
                <w:rtl/>
              </w:rPr>
              <w:t>סעיף</w:t>
            </w:r>
            <w:r w:rsidRPr="003E4F42">
              <w:rPr>
                <w:rFonts w:ascii="Century" w:hAnsi="Century"/>
                <w:rtl/>
              </w:rPr>
              <w:t xml:space="preserve"> 143, 143</w:t>
            </w:r>
            <w:r w:rsidRPr="003E4F42">
              <w:rPr>
                <w:rFonts w:ascii="Century" w:hAnsi="Century" w:hint="eastAsia"/>
                <w:rtl/>
              </w:rPr>
              <w:t>א</w:t>
            </w:r>
            <w:r w:rsidRPr="003E4F42">
              <w:rPr>
                <w:rFonts w:ascii="Century" w:hAnsi="Century"/>
                <w:rtl/>
              </w:rPr>
              <w:t xml:space="preserve"> </w:t>
            </w:r>
            <w:r w:rsidRPr="003E4F42">
              <w:rPr>
                <w:rFonts w:ascii="Century" w:hAnsi="Century" w:hint="eastAsia"/>
                <w:rtl/>
              </w:rPr>
              <w:t>או</w:t>
            </w:r>
            <w:r w:rsidRPr="003E4F42">
              <w:rPr>
                <w:rFonts w:ascii="Century" w:hAnsi="Century"/>
                <w:rtl/>
              </w:rPr>
              <w:t xml:space="preserve"> 206 </w:t>
            </w:r>
            <w:r w:rsidRPr="003E4F42">
              <w:rPr>
                <w:rFonts w:ascii="Century" w:hAnsi="Century" w:hint="eastAsia"/>
                <w:rtl/>
              </w:rPr>
              <w:t>לפקודת</w:t>
            </w:r>
            <w:r w:rsidRPr="003E4F42">
              <w:rPr>
                <w:rFonts w:ascii="Century" w:hAnsi="Century"/>
                <w:rtl/>
              </w:rPr>
              <w:t xml:space="preserve"> </w:t>
            </w:r>
            <w:r w:rsidRPr="003E4F42">
              <w:rPr>
                <w:rFonts w:ascii="Century" w:hAnsi="Century" w:hint="eastAsia"/>
                <w:rtl/>
              </w:rPr>
              <w:t>העיריות</w:t>
            </w:r>
            <w:r w:rsidRPr="003E4F42">
              <w:rPr>
                <w:rFonts w:ascii="Century" w:hAnsi="Century" w:hint="cs"/>
                <w:rtl/>
              </w:rPr>
              <w:t>,</w:t>
            </w:r>
            <w:r w:rsidRPr="003E4F42">
              <w:rPr>
                <w:rFonts w:ascii="Century" w:hAnsi="Century"/>
                <w:rtl/>
              </w:rPr>
              <w:t xml:space="preserve"> </w:t>
            </w:r>
            <w:r w:rsidRPr="003E4F42">
              <w:rPr>
                <w:rFonts w:ascii="Century" w:hAnsi="Century" w:hint="eastAsia"/>
                <w:rtl/>
              </w:rPr>
              <w:t>או</w:t>
            </w:r>
            <w:r w:rsidRPr="003E4F42">
              <w:rPr>
                <w:rFonts w:ascii="Century" w:hAnsi="Century"/>
                <w:rtl/>
              </w:rPr>
              <w:t xml:space="preserve"> </w:t>
            </w:r>
            <w:r w:rsidRPr="003E4F42">
              <w:rPr>
                <w:rFonts w:ascii="Century" w:hAnsi="Century" w:hint="eastAsia"/>
                <w:rtl/>
              </w:rPr>
              <w:t>לפי</w:t>
            </w:r>
            <w:r w:rsidRPr="003E4F42">
              <w:rPr>
                <w:rFonts w:ascii="Century" w:hAnsi="Century"/>
                <w:rtl/>
              </w:rPr>
              <w:t xml:space="preserve"> </w:t>
            </w:r>
            <w:r w:rsidRPr="003E4F42">
              <w:rPr>
                <w:rFonts w:ascii="Century" w:hAnsi="Century" w:hint="eastAsia"/>
                <w:rtl/>
              </w:rPr>
              <w:t>סעיף</w:t>
            </w:r>
            <w:r w:rsidRPr="003E4F42">
              <w:rPr>
                <w:rFonts w:ascii="Century" w:hAnsi="Century" w:hint="cs"/>
                <w:rtl/>
              </w:rPr>
              <w:t xml:space="preserve"> 38 </w:t>
            </w:r>
            <w:r w:rsidRPr="003E4F42">
              <w:rPr>
                <w:rFonts w:ascii="Century" w:hAnsi="Century" w:hint="eastAsia"/>
                <w:rtl/>
              </w:rPr>
              <w:t>או</w:t>
            </w:r>
            <w:r w:rsidRPr="003E4F42">
              <w:rPr>
                <w:rFonts w:ascii="Century" w:hAnsi="Century"/>
                <w:rtl/>
              </w:rPr>
              <w:t xml:space="preserve"> 38</w:t>
            </w:r>
            <w:r w:rsidRPr="003E4F42">
              <w:rPr>
                <w:rFonts w:ascii="Century" w:hAnsi="Century" w:hint="eastAsia"/>
                <w:rtl/>
              </w:rPr>
              <w:t>א</w:t>
            </w:r>
            <w:r w:rsidRPr="003E4F42">
              <w:rPr>
                <w:rFonts w:ascii="Century" w:hAnsi="Century"/>
                <w:rtl/>
              </w:rPr>
              <w:t xml:space="preserve"> </w:t>
            </w:r>
            <w:r w:rsidRPr="003E4F42">
              <w:rPr>
                <w:rFonts w:ascii="Century" w:hAnsi="Century" w:hint="eastAsia"/>
                <w:rtl/>
              </w:rPr>
              <w:t>לפקודת</w:t>
            </w:r>
            <w:r w:rsidRPr="003E4F42">
              <w:rPr>
                <w:rFonts w:ascii="Century" w:hAnsi="Century"/>
                <w:rtl/>
              </w:rPr>
              <w:t xml:space="preserve"> </w:t>
            </w:r>
            <w:r w:rsidRPr="003E4F42">
              <w:rPr>
                <w:rFonts w:ascii="Century" w:hAnsi="Century" w:hint="eastAsia"/>
                <w:rtl/>
              </w:rPr>
              <w:t>המועצות</w:t>
            </w:r>
            <w:r w:rsidRPr="003E4F42">
              <w:rPr>
                <w:rFonts w:ascii="Century" w:hAnsi="Century"/>
                <w:rtl/>
              </w:rPr>
              <w:t xml:space="preserve"> </w:t>
            </w:r>
            <w:r w:rsidRPr="003E4F42">
              <w:rPr>
                <w:rFonts w:ascii="Century" w:hAnsi="Century" w:hint="eastAsia"/>
                <w:rtl/>
              </w:rPr>
              <w:t>המקומיות</w:t>
            </w:r>
            <w:r w:rsidRPr="003E4F42">
              <w:rPr>
                <w:rFonts w:ascii="Century" w:hAnsi="Century"/>
                <w:rtl/>
              </w:rPr>
              <w:t xml:space="preserve">, </w:t>
            </w:r>
            <w:r w:rsidRPr="003E4F42">
              <w:rPr>
                <w:rFonts w:ascii="Century" w:hAnsi="Century" w:hint="eastAsia"/>
                <w:rtl/>
              </w:rPr>
              <w:t>אינו</w:t>
            </w:r>
            <w:r w:rsidRPr="003E4F42">
              <w:rPr>
                <w:rFonts w:ascii="Century" w:hAnsi="Century"/>
                <w:rtl/>
              </w:rPr>
              <w:t xml:space="preserve"> </w:t>
            </w:r>
            <w:r w:rsidRPr="003E4F42">
              <w:rPr>
                <w:rFonts w:ascii="Century" w:hAnsi="Century" w:hint="eastAsia"/>
                <w:rtl/>
              </w:rPr>
              <w:t>זכאי</w:t>
            </w:r>
            <w:r w:rsidRPr="003E4F42">
              <w:rPr>
                <w:rFonts w:ascii="Century" w:hAnsi="Century"/>
                <w:rtl/>
              </w:rPr>
              <w:t xml:space="preserve"> </w:t>
            </w:r>
            <w:r w:rsidRPr="003E4F42">
              <w:rPr>
                <w:rFonts w:ascii="Century" w:hAnsi="Century" w:hint="eastAsia"/>
                <w:rtl/>
              </w:rPr>
              <w:t>להיכלל</w:t>
            </w:r>
            <w:r w:rsidRPr="003E4F42">
              <w:rPr>
                <w:rFonts w:ascii="Century" w:hAnsi="Century"/>
                <w:rtl/>
              </w:rPr>
              <w:t xml:space="preserve"> </w:t>
            </w:r>
            <w:r w:rsidRPr="003E4F42">
              <w:rPr>
                <w:rFonts w:ascii="Century" w:hAnsi="Century" w:hint="eastAsia"/>
                <w:rtl/>
              </w:rPr>
              <w:t>ברשימת</w:t>
            </w:r>
            <w:r w:rsidRPr="003E4F42">
              <w:rPr>
                <w:rFonts w:ascii="Century" w:hAnsi="Century" w:hint="cs"/>
                <w:rtl/>
              </w:rPr>
              <w:t xml:space="preserve"> </w:t>
            </w:r>
            <w:r w:rsidRPr="003E4F42">
              <w:rPr>
                <w:rFonts w:ascii="Century" w:hAnsi="Century" w:hint="eastAsia"/>
                <w:rtl/>
              </w:rPr>
              <w:t>מועמדים</w:t>
            </w:r>
            <w:r w:rsidRPr="003E4F42">
              <w:rPr>
                <w:rFonts w:ascii="Century" w:hAnsi="Century"/>
                <w:rtl/>
              </w:rPr>
              <w:t xml:space="preserve"> </w:t>
            </w:r>
            <w:r w:rsidRPr="003E4F42">
              <w:rPr>
                <w:rFonts w:ascii="Century" w:hAnsi="Century" w:hint="eastAsia"/>
                <w:rtl/>
              </w:rPr>
              <w:t>ולהיבחר</w:t>
            </w:r>
            <w:r w:rsidRPr="003E4F42">
              <w:rPr>
                <w:rFonts w:ascii="Century" w:hAnsi="Century"/>
                <w:rtl/>
              </w:rPr>
              <w:t xml:space="preserve"> </w:t>
            </w:r>
            <w:r w:rsidRPr="003E4F42">
              <w:rPr>
                <w:rFonts w:ascii="Century" w:hAnsi="Century" w:hint="eastAsia"/>
                <w:rtl/>
              </w:rPr>
              <w:t>כחבר</w:t>
            </w:r>
            <w:r w:rsidRPr="003E4F42">
              <w:rPr>
                <w:rFonts w:ascii="Century" w:hAnsi="Century" w:hint="cs"/>
                <w:rtl/>
              </w:rPr>
              <w:t xml:space="preserve"> </w:t>
            </w:r>
            <w:r w:rsidRPr="003E4F42">
              <w:rPr>
                <w:rFonts w:ascii="Century" w:hAnsi="Century" w:hint="eastAsia"/>
                <w:rtl/>
              </w:rPr>
              <w:t>המועצה</w:t>
            </w:r>
            <w:r w:rsidRPr="003E4F42">
              <w:rPr>
                <w:rFonts w:ascii="Century" w:hAnsi="Century"/>
                <w:rtl/>
              </w:rPr>
              <w:t xml:space="preserve"> </w:t>
            </w:r>
            <w:r w:rsidRPr="003E4F42">
              <w:rPr>
                <w:rFonts w:ascii="Century" w:hAnsi="Century" w:hint="eastAsia"/>
                <w:rtl/>
              </w:rPr>
              <w:t>בבחירות</w:t>
            </w:r>
            <w:r w:rsidRPr="003E4F42">
              <w:rPr>
                <w:rFonts w:ascii="Century" w:hAnsi="Century"/>
                <w:rtl/>
              </w:rPr>
              <w:t xml:space="preserve"> </w:t>
            </w:r>
            <w:r w:rsidRPr="003E4F42">
              <w:rPr>
                <w:rFonts w:ascii="Century" w:hAnsi="Century" w:hint="eastAsia"/>
                <w:rtl/>
              </w:rPr>
              <w:t>שייערכו</w:t>
            </w:r>
            <w:r w:rsidRPr="003E4F42">
              <w:rPr>
                <w:rFonts w:ascii="Century" w:hAnsi="Century"/>
                <w:rtl/>
              </w:rPr>
              <w:t xml:space="preserve"> </w:t>
            </w:r>
            <w:r w:rsidRPr="003E4F42">
              <w:rPr>
                <w:rFonts w:ascii="Century" w:hAnsi="Century" w:hint="eastAsia"/>
                <w:rtl/>
              </w:rPr>
              <w:t>באותה</w:t>
            </w:r>
            <w:r w:rsidRPr="003E4F42">
              <w:rPr>
                <w:rFonts w:ascii="Century" w:hAnsi="Century"/>
                <w:rtl/>
              </w:rPr>
              <w:t xml:space="preserve"> </w:t>
            </w:r>
            <w:r w:rsidRPr="003E4F42">
              <w:rPr>
                <w:rFonts w:ascii="Century" w:hAnsi="Century" w:hint="eastAsia"/>
                <w:rtl/>
              </w:rPr>
              <w:t>רשות</w:t>
            </w:r>
            <w:r w:rsidRPr="003E4F42">
              <w:rPr>
                <w:rFonts w:ascii="Century" w:hAnsi="Century" w:hint="cs"/>
                <w:rtl/>
              </w:rPr>
              <w:t xml:space="preserve"> </w:t>
            </w:r>
            <w:r w:rsidRPr="003E4F42">
              <w:rPr>
                <w:rFonts w:ascii="Century" w:hAnsi="Century" w:hint="eastAsia"/>
                <w:rtl/>
              </w:rPr>
              <w:t>מקומית</w:t>
            </w:r>
            <w:r w:rsidRPr="003E4F42">
              <w:rPr>
                <w:rFonts w:ascii="Century" w:hAnsi="Century"/>
                <w:rtl/>
              </w:rPr>
              <w:t xml:space="preserve"> </w:t>
            </w:r>
            <w:r w:rsidRPr="003E4F42">
              <w:rPr>
                <w:rFonts w:ascii="Century" w:hAnsi="Century" w:hint="eastAsia"/>
                <w:rtl/>
              </w:rPr>
              <w:t>לראשונה</w:t>
            </w:r>
            <w:r w:rsidRPr="003E4F42">
              <w:rPr>
                <w:rFonts w:ascii="Century" w:hAnsi="Century"/>
                <w:rtl/>
              </w:rPr>
              <w:t xml:space="preserve"> </w:t>
            </w:r>
            <w:r w:rsidRPr="003E4F42">
              <w:rPr>
                <w:rFonts w:ascii="Century" w:hAnsi="Century" w:hint="eastAsia"/>
                <w:rtl/>
              </w:rPr>
              <w:t>לאחר</w:t>
            </w:r>
            <w:r w:rsidRPr="003E4F42">
              <w:rPr>
                <w:rFonts w:ascii="Century" w:hAnsi="Century"/>
                <w:rtl/>
              </w:rPr>
              <w:t xml:space="preserve"> </w:t>
            </w:r>
            <w:r w:rsidRPr="003E4F42">
              <w:rPr>
                <w:rFonts w:ascii="Century" w:hAnsi="Century" w:hint="eastAsia"/>
                <w:rtl/>
              </w:rPr>
              <w:t>מינויו</w:t>
            </w:r>
            <w:r w:rsidRPr="003E4F42">
              <w:rPr>
                <w:rFonts w:ascii="Century" w:hAnsi="Century"/>
                <w:rtl/>
              </w:rPr>
              <w:t>.</w:t>
            </w:r>
          </w:p>
          <w:p w:rsidR="001E6B43" w:rsidRPr="003E4F42" w:rsidRDefault="001E6B43" w:rsidP="00654DC5">
            <w:pPr>
              <w:pStyle w:val="Ruller41"/>
              <w:spacing w:line="240" w:lineRule="auto"/>
              <w:ind w:left="715"/>
              <w:rPr>
                <w:rFonts w:ascii="Century" w:hAnsi="Century"/>
              </w:rPr>
            </w:pPr>
            <w:r w:rsidRPr="003E4F42">
              <w:rPr>
                <w:rFonts w:ascii="Century" w:hAnsi="Century" w:hint="cs"/>
                <w:rtl/>
              </w:rPr>
              <w:t>(2) הוראות פסקה (1) יחולו גם על מי שהשר מינה למלא את תפקידי ראש הרשות המקומית או חברי המועצה עד לבחירת המועצה הראשונה לפי הוראות סעיף 3.</w:t>
            </w:r>
          </w:p>
        </w:tc>
      </w:tr>
    </w:tbl>
    <w:p w:rsidR="001E6B43" w:rsidRPr="003E4F42" w:rsidRDefault="001E6B43" w:rsidP="001E6B43">
      <w:pPr>
        <w:pStyle w:val="Ruller41"/>
        <w:rPr>
          <w:rtl/>
        </w:rPr>
      </w:pPr>
    </w:p>
    <w:p w:rsidR="001E6B43" w:rsidRPr="003E4F42" w:rsidRDefault="001E6B43" w:rsidP="001E6B43">
      <w:pPr>
        <w:pStyle w:val="Ruller41"/>
        <w:rPr>
          <w:rtl/>
        </w:rPr>
      </w:pPr>
      <w:r w:rsidRPr="003E4F42">
        <w:rPr>
          <w:rtl/>
        </w:rPr>
        <w:tab/>
      </w:r>
      <w:r w:rsidRPr="003E4F42">
        <w:rPr>
          <w:rFonts w:hint="cs"/>
          <w:rtl/>
        </w:rPr>
        <w:t>לצד הוראה זו נקבע בתיקון גם כי שר הפנים יתקן את צו המועצות האזוריות בהתאם ובשינויים המחויבים.</w:t>
      </w:r>
    </w:p>
    <w:p w:rsidR="001E6B43" w:rsidRPr="003E4F42" w:rsidRDefault="001E6B43" w:rsidP="001E6B43">
      <w:pPr>
        <w:pStyle w:val="Ruller41"/>
        <w:rPr>
          <w:rtl/>
        </w:rPr>
      </w:pPr>
    </w:p>
    <w:p w:rsidR="001E6B43" w:rsidRDefault="001E6B43" w:rsidP="001E6B43">
      <w:pPr>
        <w:pStyle w:val="Ruller4"/>
        <w:rPr>
          <w:rtl/>
        </w:rPr>
      </w:pPr>
      <w:r w:rsidRPr="003E4F42">
        <w:rPr>
          <w:rFonts w:hint="cs"/>
          <w:rtl/>
        </w:rPr>
        <w:t xml:space="preserve">בחלוף כ-15 שנים, ביום 15.5.2023, הונחה על שולחן הכנסת הצעת חוק פרטית, הצעת חוק הרשויות המקומיות (בחירות) (תיקון </w:t>
      </w:r>
      <w:r w:rsidRPr="003E4F42">
        <w:rPr>
          <w:rtl/>
        </w:rPr>
        <w:t>–</w:t>
      </w:r>
      <w:r w:rsidRPr="003E4F42">
        <w:rPr>
          <w:rFonts w:hint="cs"/>
          <w:rtl/>
        </w:rPr>
        <w:t xml:space="preserve"> הזכות להיבחר), התשפ"ג-2023, שבעיקרה ביקשה לבטל את השינוי שנעשה בתיקון מס' 39, כך שלא תהיה עוד מגבלה על חברי ועדה ממונה מלהתמודד בבחירות שיערכו בה לראשונה לאחר מינויים. בהתאם לתקנון הכנסת, דיון מוקדם בהצעת חוק פרטית לא יתקיים לפני שעברו 45 ימים מיום שהונחה על שולחן הכנסת (סעיף 76(ג) לתקנון הכנסת). מגיש הצעת החוק, חבר הכנסת עמית הלוי, ביקש להקדים את הדיון לפי סעיף 76(ד)(2) לתקנון הכנסת (שמאפשר לוועדת הכנסת לעשות כן "אם השתכנעה שלהצעת החוק יש חשיבות או דחיפות"). ועדת הכנסת דנה בבקשה ביום 5.6.2023 ובמסגרת הדיון העלתה היועצת המשפטית לוועדה, עו"ד ארבל אסטרחן, שתי בעיות בבקשה לקיצור תקופת ההנחה: ראשית, צוין כי מדובר בתיקון בנושא הבחירות בתוך תקופת הבחירות (הבחירות לרשויות המקומיות</w:t>
      </w:r>
      <w:r w:rsidR="00BA604B">
        <w:rPr>
          <w:rFonts w:hint="cs"/>
          <w:rtl/>
        </w:rPr>
        <w:t xml:space="preserve"> היו</w:t>
      </w:r>
      <w:r w:rsidRPr="003E4F42">
        <w:rPr>
          <w:rFonts w:hint="cs"/>
          <w:rtl/>
        </w:rPr>
        <w:t xml:space="preserve"> עתידות להתקיים ביום 31.10.2023; בהתאם להלכת בית משפט זה בבג"ץ</w:t>
      </w:r>
      <w:r w:rsidRPr="003E4F42">
        <w:rPr>
          <w:rFonts w:hint="eastAsia"/>
          <w:rtl/>
        </w:rPr>
        <w:t xml:space="preserve"> </w:t>
      </w:r>
      <w:r w:rsidRPr="003E4F42">
        <w:rPr>
          <w:rtl/>
        </w:rPr>
        <w:t xml:space="preserve">7181/08 </w:t>
      </w:r>
      <w:r w:rsidRPr="003E4F42">
        <w:rPr>
          <w:rFonts w:ascii="Century" w:hAnsi="Century" w:cs="Miriam" w:hint="eastAsia"/>
          <w:b/>
          <w:spacing w:val="0"/>
          <w:sz w:val="22"/>
          <w:szCs w:val="24"/>
          <w:rtl/>
        </w:rPr>
        <w:t>לוינטל</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שר</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הפנים</w:t>
      </w:r>
      <w:r w:rsidRPr="003E4F42">
        <w:rPr>
          <w:rFonts w:hint="cs"/>
          <w:rtl/>
        </w:rPr>
        <w:t xml:space="preserve"> (</w:t>
      </w:r>
      <w:r w:rsidRPr="003E4F42">
        <w:rPr>
          <w:rtl/>
        </w:rPr>
        <w:t>10.11.2008)</w:t>
      </w:r>
      <w:r w:rsidRPr="003E4F42">
        <w:rPr>
          <w:rFonts w:hint="cs"/>
          <w:rtl/>
        </w:rPr>
        <w:t xml:space="preserve"> (להלן: </w:t>
      </w:r>
      <w:r w:rsidRPr="003E4F42">
        <w:rPr>
          <w:rFonts w:ascii="Century" w:hAnsi="Century" w:hint="cs"/>
          <w:sz w:val="22"/>
          <w:rtl/>
        </w:rPr>
        <w:t xml:space="preserve">עניין </w:t>
      </w:r>
      <w:r w:rsidRPr="003E4F42">
        <w:rPr>
          <w:rFonts w:ascii="Century" w:hAnsi="Century" w:cs="Miriam" w:hint="cs"/>
          <w:b/>
          <w:spacing w:val="0"/>
          <w:sz w:val="22"/>
          <w:szCs w:val="24"/>
          <w:rtl/>
        </w:rPr>
        <w:t>לוינטל</w:t>
      </w:r>
      <w:r w:rsidRPr="003E4F42">
        <w:rPr>
          <w:rFonts w:hint="cs"/>
          <w:rtl/>
        </w:rPr>
        <w:t xml:space="preserve">), תקופת הבחירות החלה כבר ביום 4.6.2023; ארחיב בעניין זה בהמשך דבריי); ושנית, הממד הפרסונלי של התיקון המוצע. זו העת לעמוד על כך שבראשות עיריית טבריה עומד יושב ראש ועדה ממונה, מר בועז יוסף (להלן: </w:t>
      </w:r>
      <w:r w:rsidRPr="003E4F42">
        <w:rPr>
          <w:rFonts w:ascii="Century" w:hAnsi="Century" w:cs="Miriam" w:hint="cs"/>
          <w:b/>
          <w:spacing w:val="0"/>
          <w:sz w:val="22"/>
          <w:szCs w:val="24"/>
          <w:rtl/>
        </w:rPr>
        <w:t>בועז יוסף</w:t>
      </w:r>
      <w:r w:rsidRPr="003E4F42">
        <w:rPr>
          <w:rFonts w:hint="cs"/>
          <w:rtl/>
        </w:rPr>
        <w:t xml:space="preserve">; לרקע למינוי הוועדה הממונה בטבריה ראו עניין </w:t>
      </w:r>
      <w:r w:rsidRPr="003E4F42">
        <w:rPr>
          <w:rFonts w:ascii="Century" w:hAnsi="Century" w:cs="Miriam" w:hint="cs"/>
          <w:b/>
          <w:spacing w:val="0"/>
          <w:sz w:val="22"/>
          <w:szCs w:val="24"/>
          <w:rtl/>
        </w:rPr>
        <w:t>קובי</w:t>
      </w:r>
      <w:r w:rsidRPr="003E4F42">
        <w:rPr>
          <w:rFonts w:ascii="Century" w:hAnsi="Century" w:hint="cs"/>
          <w:sz w:val="22"/>
          <w:rtl/>
        </w:rPr>
        <w:t>, פסקאות 15-3</w:t>
      </w:r>
      <w:r w:rsidRPr="003E4F42">
        <w:rPr>
          <w:rFonts w:hint="cs"/>
          <w:rtl/>
        </w:rPr>
        <w:t xml:space="preserve">). כפי שיתואר להלן בהרחבה, נטען כי התיקון נועד לאפשר לו להתמודד </w:t>
      </w:r>
      <w:r w:rsidRPr="003E4F42">
        <w:rPr>
          <w:rFonts w:hint="cs"/>
          <w:rtl/>
        </w:rPr>
        <w:lastRenderedPageBreak/>
        <w:t xml:space="preserve">לראשות עיריית טבריה. אדגיש, כבר בשלב הנוכחי, כי אין בכל האמור להלן כדי להטיל דופי בפעולותיו של בועז יוסף כיושב ראש הוועדה הממונה בטבריה. </w:t>
      </w:r>
    </w:p>
    <w:p w:rsidR="001E712D" w:rsidRDefault="001E712D" w:rsidP="001E712D">
      <w:pPr>
        <w:pStyle w:val="Ruller41"/>
        <w:rPr>
          <w:rtl/>
        </w:rPr>
      </w:pPr>
    </w:p>
    <w:p w:rsidR="001E6B43" w:rsidRPr="003E4F42" w:rsidRDefault="001E6B43" w:rsidP="00DC7961">
      <w:pPr>
        <w:pStyle w:val="Ruller4"/>
        <w:rPr>
          <w:rtl/>
        </w:rPr>
      </w:pPr>
      <w:r w:rsidRPr="003E4F42">
        <w:rPr>
          <w:rFonts w:hint="cs"/>
          <w:rtl/>
        </w:rPr>
        <w:t>על הליכי חקיקת התיקון ארחיב בהמשך, לענייננו חשוב לציין כי לאורך הדיונים שבו והועלו הקשיים בחקיקה המוצעת ובהם הקושי שנעוץ בשינוי כללי הבחירות בתקופת הבחירות ו</w:t>
      </w:r>
      <w:r w:rsidR="009064AA" w:rsidRPr="003E4F42">
        <w:rPr>
          <w:rFonts w:hint="cs"/>
          <w:rtl/>
        </w:rPr>
        <w:t>ב</w:t>
      </w:r>
      <w:r w:rsidRPr="003E4F42">
        <w:rPr>
          <w:rFonts w:hint="cs"/>
          <w:rtl/>
        </w:rPr>
        <w:t xml:space="preserve">פרסונליות </w:t>
      </w:r>
      <w:r w:rsidRPr="003E4F42">
        <w:rPr>
          <w:rtl/>
        </w:rPr>
        <w:t>–</w:t>
      </w:r>
      <w:r w:rsidRPr="003E4F42">
        <w:rPr>
          <w:rFonts w:hint="cs"/>
          <w:rtl/>
        </w:rPr>
        <w:t xml:space="preserve"> אך בסופו של יום, עברה הצעת החוק בקריאה שניה ושלישית ביום 5.7.2023 (בישיבה שהחלה ביום 4.7.2023) ופורסמה ברשומות ביום 6.7.2023 (</w:t>
      </w:r>
      <w:r w:rsidRPr="003E4F42">
        <w:rPr>
          <w:rFonts w:hint="eastAsia"/>
          <w:rtl/>
        </w:rPr>
        <w:t>הצעת</w:t>
      </w:r>
      <w:r w:rsidRPr="003E4F42">
        <w:rPr>
          <w:rtl/>
        </w:rPr>
        <w:t xml:space="preserve"> </w:t>
      </w:r>
      <w:r w:rsidRPr="003E4F42">
        <w:rPr>
          <w:rFonts w:hint="eastAsia"/>
          <w:rtl/>
        </w:rPr>
        <w:t>חוק</w:t>
      </w:r>
      <w:r w:rsidRPr="003E4F42">
        <w:rPr>
          <w:rtl/>
        </w:rPr>
        <w:t xml:space="preserve"> </w:t>
      </w:r>
      <w:r w:rsidRPr="003E4F42">
        <w:rPr>
          <w:rFonts w:hint="eastAsia"/>
          <w:rtl/>
        </w:rPr>
        <w:t>הרשויות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בחירות</w:t>
      </w:r>
      <w:r w:rsidRPr="003E4F42">
        <w:rPr>
          <w:rtl/>
        </w:rPr>
        <w:t>) (</w:t>
      </w:r>
      <w:r w:rsidRPr="003E4F42">
        <w:rPr>
          <w:rFonts w:hint="eastAsia"/>
          <w:rtl/>
        </w:rPr>
        <w:t>תיקון</w:t>
      </w:r>
      <w:r w:rsidRPr="003E4F42">
        <w:rPr>
          <w:rtl/>
        </w:rPr>
        <w:t xml:space="preserve"> </w:t>
      </w:r>
      <w:r w:rsidRPr="003E4F42">
        <w:rPr>
          <w:rFonts w:hint="eastAsia"/>
          <w:rtl/>
        </w:rPr>
        <w:t>מס</w:t>
      </w:r>
      <w:r w:rsidRPr="003E4F42">
        <w:rPr>
          <w:rtl/>
        </w:rPr>
        <w:t xml:space="preserve">' 53), </w:t>
      </w:r>
      <w:r w:rsidRPr="003E4F42">
        <w:rPr>
          <w:rFonts w:hint="eastAsia"/>
          <w:rtl/>
        </w:rPr>
        <w:t>התשפ</w:t>
      </w:r>
      <w:r w:rsidRPr="003E4F42">
        <w:rPr>
          <w:rtl/>
        </w:rPr>
        <w:t>"</w:t>
      </w:r>
      <w:r w:rsidRPr="003E4F42">
        <w:rPr>
          <w:rFonts w:hint="eastAsia"/>
          <w:rtl/>
        </w:rPr>
        <w:t>ג</w:t>
      </w:r>
      <w:r w:rsidRPr="003E4F42">
        <w:rPr>
          <w:rtl/>
        </w:rPr>
        <w:t>-2023</w:t>
      </w:r>
      <w:r w:rsidRPr="003E4F42">
        <w:rPr>
          <w:rFonts w:hint="cs"/>
          <w:rtl/>
        </w:rPr>
        <w:t>). תיקון מס' 53 ביטל למעשה את סעיף 7(א1) שנוסף לחוק הבחירות במסגרת תיקון מס' 39 ושל</w:t>
      </w:r>
      <w:r w:rsidR="00DC7961" w:rsidRPr="003E4F42">
        <w:rPr>
          <w:rFonts w:hint="cs"/>
          <w:rtl/>
        </w:rPr>
        <w:t>שונו הובאה לעיל. במסגרת התיקון</w:t>
      </w:r>
      <w:r w:rsidRPr="003E4F42">
        <w:rPr>
          <w:rFonts w:hint="cs"/>
          <w:rtl/>
        </w:rPr>
        <w:t xml:space="preserve"> תוקן גם חוק הגבלת הזכות להיבחר, כך שיושב ראש ועדה או חבר ועדה ממונה יצטרך, כתנאי להתמודדותו בבחירות, להתפטר מתפקידו לא יאוחר מהיום ה-90 שלפני יום הבחירות (יוער כי תוספת זו לתיקון מס' 53 נוספה במסגרת </w:t>
      </w:r>
      <w:r w:rsidRPr="003E4F42">
        <w:rPr>
          <w:rFonts w:ascii="Century" w:hAnsi="Century" w:hint="cs"/>
          <w:sz w:val="22"/>
          <w:rtl/>
        </w:rPr>
        <w:t>הסתייגות</w:t>
      </w:r>
      <w:r w:rsidRPr="003E4F42">
        <w:rPr>
          <w:rFonts w:hint="cs"/>
          <w:rtl/>
        </w:rPr>
        <w:t xml:space="preserve"> שהועלתה על ידי מציע הצעת החוק). כמו כן נקבע בתיקון כי שר הפנים יתקן את צו המועצות האזוריות בהתאם לאמור בתיקון ובשינויים המחויבים. </w:t>
      </w:r>
    </w:p>
    <w:p w:rsidR="001E6B43" w:rsidRPr="003E4F42" w:rsidRDefault="001E6B43" w:rsidP="001E6B43">
      <w:pPr>
        <w:pStyle w:val="Ruller4"/>
        <w:numPr>
          <w:ilvl w:val="0"/>
          <w:numId w:val="0"/>
        </w:numPr>
        <w:rPr>
          <w:rtl/>
        </w:rPr>
      </w:pPr>
    </w:p>
    <w:p w:rsidR="001E6B43" w:rsidRPr="003E4F42" w:rsidRDefault="001E6B43" w:rsidP="001E6B43">
      <w:pPr>
        <w:pStyle w:val="1"/>
        <w:rPr>
          <w:rtl/>
        </w:rPr>
      </w:pPr>
      <w:r w:rsidRPr="003E4F42">
        <w:rPr>
          <w:rFonts w:hint="cs"/>
          <w:rtl/>
        </w:rPr>
        <w:t>העתירות והדיון בהן</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pPr>
      <w:r w:rsidRPr="003E4F42">
        <w:rPr>
          <w:rFonts w:hint="cs"/>
          <w:rtl/>
        </w:rPr>
        <w:t xml:space="preserve">ביום 5.7.2023 הוגשו שתיים מן העתירות שבכותרת (בג"ץ 5119/23 ובג"ץ 5120/23), והשופטת </w:t>
      </w:r>
      <w:r w:rsidRPr="003E4F42">
        <w:rPr>
          <w:rFonts w:ascii="Century" w:hAnsi="Century" w:cs="Miriam" w:hint="cs"/>
          <w:b/>
          <w:spacing w:val="0"/>
          <w:sz w:val="22"/>
          <w:szCs w:val="24"/>
          <w:rtl/>
        </w:rPr>
        <w:t xml:space="preserve">ד' ברק-ארז </w:t>
      </w:r>
      <w:r w:rsidRPr="003E4F42">
        <w:rPr>
          <w:rFonts w:ascii="Century" w:hAnsi="Century" w:hint="cs"/>
          <w:sz w:val="22"/>
          <w:rtl/>
        </w:rPr>
        <w:t xml:space="preserve">הורתה על הגשת תגובות עד ליום 19.7.2023. </w:t>
      </w:r>
      <w:r w:rsidRPr="003E4F42">
        <w:rPr>
          <w:rFonts w:hint="cs"/>
          <w:rtl/>
        </w:rPr>
        <w:t xml:space="preserve">העתירה השלישית (בג"ץ 5434/23) הוגשה ביום 17.7.2023 ותגובות מקדמיות הוגשו מטעם מרכז השלטון המקומי (להלן גם: </w:t>
      </w:r>
      <w:r w:rsidRPr="003E4F42">
        <w:rPr>
          <w:rFonts w:ascii="Century" w:hAnsi="Century" w:cs="Miriam" w:hint="cs"/>
          <w:b/>
          <w:spacing w:val="0"/>
          <w:sz w:val="22"/>
          <w:szCs w:val="24"/>
          <w:rtl/>
        </w:rPr>
        <w:t>המרכז</w:t>
      </w:r>
      <w:r w:rsidRPr="003E4F42">
        <w:rPr>
          <w:rFonts w:ascii="Century" w:hAnsi="Century" w:hint="cs"/>
          <w:sz w:val="22"/>
          <w:rtl/>
        </w:rPr>
        <w:t xml:space="preserve">) ומטעם </w:t>
      </w:r>
      <w:r w:rsidRPr="003E4F42">
        <w:rPr>
          <w:rFonts w:hint="cs"/>
          <w:rtl/>
        </w:rPr>
        <w:t xml:space="preserve">בועז יוסף. ביום 19.7.2023 הוגשה מטעם משרד הפנים והיועצת המשפטית לממשלה (להלן: </w:t>
      </w:r>
      <w:r w:rsidRPr="003E4F42">
        <w:rPr>
          <w:rFonts w:ascii="Century" w:hAnsi="Century" w:cs="Miriam" w:hint="cs"/>
          <w:b/>
          <w:spacing w:val="0"/>
          <w:sz w:val="22"/>
          <w:szCs w:val="24"/>
          <w:rtl/>
        </w:rPr>
        <w:t>משיבי הממשלה</w:t>
      </w:r>
      <w:r w:rsidRPr="003E4F42">
        <w:rPr>
          <w:rFonts w:hint="cs"/>
          <w:rtl/>
        </w:rPr>
        <w:t xml:space="preserve">) בקשה לקביעת מתווה דיוני, שבמסגרתה התבקש שהתיקים יקבעו לדיון לפני הרכב בהקדם וזאת בשים לב לכך שבהתאם לדין במתכונת שלאחר תיקון מס' 53, המועד האחרון להתפטרותם של עובדי רשות מקומית שברצונם להתמודד בבחירות הקרובות לראשות המועצה הוא יום 2.8.2023. ביום 20.7.2023 נקבע כי הדיון בשלוש העתירות יאוחד ובנסיבות העניין ובהינתן לוח זמנים זה, ניתן צו על תנאי בהתאם לסעדים שפורטו בעתירות. </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העותרות בבג"ץ 5119/23 (התנועה לטוהר המידות; עמותת תנועה ישראל ושני אילוז, מועמדת לראשות עיריית טבריה; להלן: </w:t>
      </w:r>
      <w:r w:rsidRPr="003E4F42">
        <w:rPr>
          <w:rFonts w:ascii="Century" w:hAnsi="Century" w:cs="Miriam" w:hint="cs"/>
          <w:b/>
          <w:spacing w:val="0"/>
          <w:sz w:val="22"/>
          <w:szCs w:val="24"/>
          <w:rtl/>
        </w:rPr>
        <w:t>אילוז</w:t>
      </w:r>
      <w:r w:rsidRPr="003E4F42">
        <w:rPr>
          <w:rFonts w:hint="cs"/>
          <w:rtl/>
        </w:rPr>
        <w:t xml:space="preserve">; עתירה זו תכונה להלן: </w:t>
      </w:r>
      <w:r w:rsidRPr="003E4F42">
        <w:rPr>
          <w:rFonts w:ascii="Century" w:hAnsi="Century" w:cs="Miriam" w:hint="cs"/>
          <w:b/>
          <w:spacing w:val="0"/>
          <w:sz w:val="22"/>
          <w:szCs w:val="24"/>
          <w:rtl/>
        </w:rPr>
        <w:t>עתירת התנועה לטוהר המידות</w:t>
      </w:r>
      <w:r w:rsidRPr="003E4F42">
        <w:rPr>
          <w:rFonts w:hint="cs"/>
          <w:rtl/>
        </w:rPr>
        <w:t xml:space="preserve">) מבקשות כי נורה על בטלות תיקון מס' 53 או שנקבע בדרך של פרשנות מקיימת כי הוראות התיקון לא יחולו על הבחירות הקרובות לרשויות המקומיות. לטענת העותרות, התיקון פוגע בזכות לשוויון ובזכות להיבחר בשלטון המקומי מאחר </w:t>
      </w:r>
      <w:r w:rsidRPr="003E4F42">
        <w:rPr>
          <w:rFonts w:hint="cs"/>
          <w:rtl/>
        </w:rPr>
        <w:lastRenderedPageBreak/>
        <w:t xml:space="preserve">שהוא מעניק יתרון בלתי הוגן למועמדים מתוך הוועדה הממונה, ובראשם ליושב ראש הוועדה, על פני מועמדים אחרים. לטענתן, תכליתו של התיקון פרסונלית, והיא אינה ראויה ומצדיקה את פסילתו; וממילא, הוא לא צולח את מבחני המידתיות ולא יכול לעמוד. אשר למועד התחולה של התיקון, מבקשות העותרות לחלופין כי ככל שבית המשפט לא יורה על בטלות החוק כולו, ייקבע בדרך פרשנית כי ההסדר בתיקון לא יחול בבחירות הקרובות, וזאת על מנת למנוע את "שינוי כללי המשחק תוך כדי המשחק" (שינוי כללי הבחירות בתוך תקופת הבחירות). התנועה למען איכות השלטון בישראל (היא העותרת בבג"ץ 5120/23; להלן: </w:t>
      </w:r>
      <w:r w:rsidRPr="003E4F42">
        <w:rPr>
          <w:rFonts w:ascii="Century" w:hAnsi="Century" w:cs="Miriam" w:hint="cs"/>
          <w:b/>
          <w:spacing w:val="0"/>
          <w:sz w:val="22"/>
          <w:szCs w:val="24"/>
          <w:rtl/>
        </w:rPr>
        <w:t>התנועה לאיכות השלטון</w:t>
      </w:r>
      <w:r w:rsidRPr="003E4F42">
        <w:rPr>
          <w:rFonts w:hint="cs"/>
          <w:rtl/>
        </w:rPr>
        <w:t xml:space="preserve"> ו-</w:t>
      </w:r>
      <w:r w:rsidRPr="003E4F42">
        <w:rPr>
          <w:rFonts w:ascii="Century" w:hAnsi="Century" w:cs="Miriam" w:hint="cs"/>
          <w:b/>
          <w:spacing w:val="0"/>
          <w:sz w:val="22"/>
          <w:szCs w:val="24"/>
          <w:rtl/>
        </w:rPr>
        <w:t>עתירת התנועה לאיכות השלטון</w:t>
      </w:r>
      <w:r w:rsidRPr="003E4F42">
        <w:rPr>
          <w:rFonts w:hint="cs"/>
          <w:rtl/>
        </w:rPr>
        <w:t xml:space="preserve">) חזרה אף היא, בעיקרם של דברים, על הטענות שהובאו לעיל, ובכלל זאת טענה כי דינו של התיקון פסלות בשל היותו תיקון פרסונלי, שמשנה את כללי הבחירות במהלך תקופת הבחירות; מאחר שהוא מהווה חקיקה רטרוספקטיבית; ונוכח פגיעתו בזכות לבחור ולהיבחר ובשוויון הסיכויים של מועמדים בבחירות. גם התנועה לאיכות השלטון עתרה לחלופין שיקבע שהתיקון לא יחול באופן מידי. העותר בבג"ץ 5434/23, מר אביב יצחק, אף הוא מתמודד על כהונת ראש עיריית טבריה, ובעתירתו כוון את עיקר חיציו לפגיעה בו ובזכותו להליך בחירות שוויוני. לדבריו, התיקון משנה את "כללי המשחק" לאחר תחילת מערכת הבחירות. </w:t>
      </w:r>
    </w:p>
    <w:p w:rsidR="001E6B43" w:rsidRPr="003E4F42" w:rsidRDefault="001E6B43" w:rsidP="001E6B43">
      <w:pPr>
        <w:pStyle w:val="Ruller41"/>
        <w:rPr>
          <w:rtl/>
        </w:rPr>
      </w:pPr>
    </w:p>
    <w:p w:rsidR="001E6B43" w:rsidRPr="003E4F42" w:rsidRDefault="001E6B43" w:rsidP="00A46E57">
      <w:pPr>
        <w:pStyle w:val="Ruller4"/>
      </w:pPr>
      <w:r w:rsidRPr="003E4F42">
        <w:rPr>
          <w:rFonts w:hint="cs"/>
          <w:rtl/>
        </w:rPr>
        <w:t>המרכז לשלטון מקומי (המשיב 5 בעתירת התנועה לטוהר המידות) סבר כי דין העתירות להתקבל וכי יש להורות על בטלות התיקון. בטיעוניו, הצטרף המרכז לשלטון מקומי לטיעוני העותרים, אך ציין כי לשיטתו אין די בסעד של פרשנות מקיימת של הוראות התיקון. עוד טען המרכז כי התיקון חותר תחת תכליות הוועדה הממונה באופן שמפר את האיזון בין הפגיעה בעצמאות השלטון המקומי והזכות לבחור ולהיבחר לבין האינטרסים שמצדיקים את התערבות השלטון המרכזי בהקמת ועדה ממונה. כך, כנטען, הענקת זכות להתמודד לחברי הוועדה הממונה (וליושב ראשה) תהפוך אותם לשחקנים פוליטיים באופן שיחליש את מקצועיות המינוי ואת אמון הציבור בוועדה. לטענת המרכז, אין די בקביעה כי התיקון לא יחול בבחירות הקרובות, וזאת מאחר שהתיקון כשלעצמו מוביל לפגיעה בזכויות שלא עומדת בתנאי פסקת ההגבלה.</w:t>
      </w:r>
    </w:p>
    <w:p w:rsidR="001E6B43" w:rsidRPr="003E4F42" w:rsidRDefault="001E6B43" w:rsidP="001E6B43">
      <w:pPr>
        <w:pStyle w:val="Ruller4"/>
        <w:numPr>
          <w:ilvl w:val="0"/>
          <w:numId w:val="0"/>
        </w:numPr>
      </w:pPr>
    </w:p>
    <w:p w:rsidR="001E6B43" w:rsidRPr="003E4F42" w:rsidRDefault="001E6B43" w:rsidP="001E6B43">
      <w:pPr>
        <w:pStyle w:val="Ruller4"/>
      </w:pPr>
      <w:r w:rsidRPr="003E4F42">
        <w:rPr>
          <w:rFonts w:hint="cs"/>
          <w:rtl/>
        </w:rPr>
        <w:t xml:space="preserve">משיבי הממשלה טענו בתשובתם כי תיקון מס' 53 נחקק בתקופת הבחירות לרשויות המקומיות במטרה לאפשר התמודדותו של מועמד אחד </w:t>
      </w:r>
      <w:r w:rsidRPr="003E4F42">
        <w:rPr>
          <w:rtl/>
        </w:rPr>
        <w:t>–</w:t>
      </w:r>
      <w:r w:rsidRPr="003E4F42">
        <w:rPr>
          <w:rFonts w:hint="cs"/>
          <w:rtl/>
        </w:rPr>
        <w:t xml:space="preserve"> בועז יוסף לראשות עיריית טבריה. מדובר לשיטת משיבי הממשלה בתיקון פגום שתוצאתו מעוררת קשיים משמעותיים ללא קשר למועד תחולתו. לדברי משיבי הממשלה, הרצון לשנות את כללי המשחק עבור שחקן מסוים הוביל לעיצוב הסדר מוקשה, בהליך חקיקה מהיר שלא קדמה </w:t>
      </w:r>
      <w:r w:rsidRPr="003E4F42">
        <w:rPr>
          <w:rFonts w:hint="cs"/>
          <w:rtl/>
        </w:rPr>
        <w:lastRenderedPageBreak/>
        <w:t xml:space="preserve">לו עבודת מטה מקצועית לבחינת השלכותיו על ועדות ממונות ועל הליכי שיקום של רשויות במצוקה או בתחילת דרכן. לטענת משיבי הממשלה הדיון בחוקתיות ההסדר כולו, הגם שנדרש, אינו בשל בעת הזו, כשטרם נבחנה האפשרות לייצר הסדרים משלימים שיאפשרו שמירה על אופיין המקצועי של ועדות ממונות. חרף האמור, אין מנוס לדברי משיבי הממשלה מלהידרש לחוקתיות תחולתו של ההסדר על מערכת הבחירות הנוכחית, וזאת מאחר שתיקון מס' 53 שינה את כללי המשחק "תוך כדי המשחק", ולכן יש לקבוע כי הוא לא יכול לחול על מערכת הבחירות הנוכחית לרשויות המקומיות. </w:t>
      </w:r>
    </w:p>
    <w:p w:rsidR="001E6B43" w:rsidRPr="003E4F42" w:rsidRDefault="001E6B43" w:rsidP="001E6B43">
      <w:pPr>
        <w:pStyle w:val="Ruller4"/>
        <w:numPr>
          <w:ilvl w:val="0"/>
          <w:numId w:val="0"/>
        </w:numPr>
        <w:rPr>
          <w:rtl/>
        </w:rPr>
      </w:pPr>
    </w:p>
    <w:p w:rsidR="001E6B43" w:rsidRPr="003E4F42" w:rsidRDefault="001E6B43" w:rsidP="005426D3">
      <w:pPr>
        <w:pStyle w:val="Ruller4"/>
        <w:numPr>
          <w:ilvl w:val="0"/>
          <w:numId w:val="0"/>
        </w:numPr>
        <w:rPr>
          <w:rtl/>
        </w:rPr>
      </w:pPr>
      <w:r w:rsidRPr="003E4F42">
        <w:rPr>
          <w:rtl/>
        </w:rPr>
        <w:tab/>
      </w:r>
      <w:r w:rsidRPr="003E4F42">
        <w:rPr>
          <w:rFonts w:hint="cs"/>
          <w:rtl/>
        </w:rPr>
        <w:t xml:space="preserve">לעמדת משיבי הממשלה צורפה, כלשונה, עמדת שר הפנים, שסבור כי אין מקום להתערבות בית המשפט בתיקון מס' 53 </w:t>
      </w:r>
      <w:r w:rsidRPr="003E4F42">
        <w:rPr>
          <w:rtl/>
        </w:rPr>
        <w:t>–</w:t>
      </w:r>
      <w:r w:rsidRPr="003E4F42">
        <w:rPr>
          <w:rFonts w:hint="cs"/>
          <w:rtl/>
        </w:rPr>
        <w:t xml:space="preserve"> בחוקתיותו או במועד תחולתו. לדבריו, התיקון משקף נקודת איזון שהתקבלה בהליך תקין בכנסת. התיקון, לדבריו, לא פוגע בזכות יסוד חוקתית ואף אם קיימת פגיעה, זו עומדת במבחני פסקת ההגבלה. עמדת השר היא כי תיקון מס' 53 אך החזיר את המצב לקדמותו, היינו, למצב שהיה קיים עובר לתיקון מס' 39, וככל שלא היה פגם במצב החוקי הקודם, אין מקום לטעון כי קיים פגם חוקתי במצב החדש. אשר למועד שבו התקבל התיקון, הגם שמדובר בתיקון שנעשה בתוך 150 הימים שקודמים לבחירות (המועד שנקבע כ"מועד הקובע" לתחילת תקופת הבחירות, ראו גם בפסקה </w:t>
      </w:r>
      <w:r w:rsidR="005426D3" w:rsidRPr="003E4F42">
        <w:rPr>
          <w:rFonts w:ascii="Century" w:hAnsi="Century" w:hint="cs"/>
          <w:sz w:val="22"/>
          <w:rtl/>
        </w:rPr>
        <w:t>54</w:t>
      </w:r>
      <w:r w:rsidRPr="003E4F42">
        <w:rPr>
          <w:rFonts w:hint="cs"/>
          <w:rtl/>
        </w:rPr>
        <w:t xml:space="preserve"> להלן), אין מניעה לערוך שינוים בכללים שעוסקים בבחירות גם לאחר מועד זה, ובפרט כאשר השינוי נעשה בחקיקה ראשית. עוד לדברי השר, התפטרות יושב ראש הוועדה הממונה 90 ימים לפני הבחירות נותנת מענה מספק לטענת הפגיעה בשוויון בין המועמדים בבחירות.</w:t>
      </w:r>
    </w:p>
    <w:p w:rsidR="001E6B43" w:rsidRPr="003E4F42" w:rsidRDefault="001E6B43" w:rsidP="001E6B43">
      <w:pPr>
        <w:pStyle w:val="Ruller4"/>
        <w:numPr>
          <w:ilvl w:val="0"/>
          <w:numId w:val="0"/>
        </w:numPr>
        <w:rPr>
          <w:rtl/>
        </w:rPr>
      </w:pPr>
    </w:p>
    <w:p w:rsidR="001E6B43" w:rsidRPr="003E4F42" w:rsidRDefault="001E6B43" w:rsidP="001E6B43">
      <w:pPr>
        <w:pStyle w:val="Ruller4"/>
      </w:pPr>
      <w:r w:rsidRPr="003E4F42">
        <w:rPr>
          <w:rFonts w:hint="cs"/>
          <w:rtl/>
        </w:rPr>
        <w:t xml:space="preserve">הכנסת (וועדת הפנים והגנת הסביבה של הכנסת; להלן: </w:t>
      </w:r>
      <w:r w:rsidRPr="003E4F42">
        <w:rPr>
          <w:rFonts w:ascii="Century" w:hAnsi="Century" w:cs="Miriam" w:hint="cs"/>
          <w:b/>
          <w:spacing w:val="0"/>
          <w:sz w:val="22"/>
          <w:szCs w:val="24"/>
          <w:rtl/>
        </w:rPr>
        <w:t>ועדת הפנים</w:t>
      </w:r>
      <w:r w:rsidRPr="003E4F42">
        <w:rPr>
          <w:rFonts w:hint="cs"/>
          <w:rtl/>
        </w:rPr>
        <w:t xml:space="preserve">) בתשובתה עמדה על עמדת הייעוץ המשפטי לוועדת הפנים שהוצגה בדיוני הוועדה שלפיה צירוף הקשיים שקיימים בהצעת החוק מביא ל"קושי משמעותי מאוד" (סעיף 66 לתשובתה). עם זאת, לטענתה, משהחליט המחוקק לחוקק את התיקון הרי שהוא שוכנע בדבר חוקתיותו, ומשכך השמיעה "טענותיה להוכחת תוקפו" (בהתאם לסמכותה לפי סעיף 17(ג1) לחוק הכנסת, התשנ"ד-1994). בכל הנוגע למועד תחולת התיקון, הוצגה עמדת היועץ המשפטי לוועדת הפנים כי התיקון נחקק בתוך תקופת הבחירות (לפי ההלכה שנקבעה בעניין </w:t>
      </w:r>
      <w:r w:rsidRPr="003E4F42">
        <w:rPr>
          <w:rFonts w:ascii="Century" w:hAnsi="Century" w:cs="Miriam" w:hint="cs"/>
          <w:b/>
          <w:spacing w:val="0"/>
          <w:sz w:val="22"/>
          <w:szCs w:val="24"/>
          <w:rtl/>
        </w:rPr>
        <w:t>לוינטל</w:t>
      </w:r>
      <w:r w:rsidRPr="003E4F42">
        <w:rPr>
          <w:rFonts w:hint="cs"/>
          <w:rtl/>
        </w:rPr>
        <w:t xml:space="preserve">), אך צוין כי בדיוני ועדת הפנים הושמעו הערות שונות שמאבחנות את המקרה דנן מעניין </w:t>
      </w:r>
      <w:r w:rsidRPr="003E4F42">
        <w:rPr>
          <w:rFonts w:ascii="Century" w:hAnsi="Century" w:cs="Miriam" w:hint="cs"/>
          <w:b/>
          <w:spacing w:val="0"/>
          <w:sz w:val="22"/>
          <w:szCs w:val="24"/>
          <w:rtl/>
        </w:rPr>
        <w:t>לוינטל</w:t>
      </w:r>
      <w:r w:rsidRPr="003E4F42">
        <w:rPr>
          <w:rFonts w:ascii="Century" w:hAnsi="Century" w:hint="cs"/>
          <w:sz w:val="22"/>
          <w:rtl/>
        </w:rPr>
        <w:t xml:space="preserve">. לטענת הכנסת, אין מקום למתן סעד פרשני בדבר תחולה עתידית של התיקון, מאחר שקביעת הוראת תחולה מעין זו חורגת מגבולות הפרשנות הלשונית ואינה עולה בקנה אחד עם כוונת המחוקק. לצד זאת, צוין, כי ככל שבית המשפט ימצא לעשות כן, מוטב שהחוק יפורש באופן שימנע הכרזה על בטלותו. אשר למישור הפרסונליות, טענה הכנסת כי אין לראות את התיקון כחוק פרסונלי מובהק </w:t>
      </w:r>
      <w:r w:rsidRPr="003E4F42">
        <w:rPr>
          <w:rFonts w:ascii="Century" w:hAnsi="Century" w:hint="cs"/>
          <w:sz w:val="22"/>
          <w:rtl/>
        </w:rPr>
        <w:lastRenderedPageBreak/>
        <w:t xml:space="preserve">מאחר שתחולתו היא "כללית ונצחית", והוא אינו חל רק על אדם מסוים. אשר לחוקתיותו של התיקון במנותק מתחולתו המידית, טוענת הכנסת כי לא בוססה הטענה בדבר קיומו של פגם חוקתי. לטענתה, החוק רק תורם לזכות להיבחר ולא פוגע בה ואין הוא פוגע בשוויון בין המועמדים בבחירות לרשויות המקומיות. לכך הוסיפה הכנסת כי ממילא "עקרון השוויון" בבחירות לרשויות המקומיות אינו מעוגן בחוק יסוד, אלא "רק" בחקיקה רגילה (סעיף 2 לחוק הרשויות המקומיות (בחירת ראש הרשות וסגניו וכהונתם), התשל"ה-1975; להלן: </w:t>
      </w:r>
      <w:r w:rsidRPr="003E4F42">
        <w:rPr>
          <w:rFonts w:ascii="Century" w:hAnsi="Century" w:cs="Miriam" w:hint="cs"/>
          <w:b/>
          <w:spacing w:val="0"/>
          <w:sz w:val="22"/>
          <w:szCs w:val="24"/>
          <w:rtl/>
        </w:rPr>
        <w:t>חוק בחירת ראש הרשות וסגניו</w:t>
      </w:r>
      <w:r w:rsidRPr="003E4F42">
        <w:rPr>
          <w:rFonts w:ascii="Century" w:hAnsi="Century" w:hint="cs"/>
          <w:sz w:val="22"/>
          <w:rtl/>
        </w:rPr>
        <w:t>).</w:t>
      </w:r>
    </w:p>
    <w:p w:rsidR="001E6B43" w:rsidRPr="003E4F42" w:rsidRDefault="001E6B43" w:rsidP="001E6B43">
      <w:pPr>
        <w:pStyle w:val="Ruller4"/>
        <w:numPr>
          <w:ilvl w:val="0"/>
          <w:numId w:val="0"/>
        </w:numPr>
      </w:pPr>
    </w:p>
    <w:p w:rsidR="001E6B43" w:rsidRPr="003E4F42" w:rsidRDefault="001E6B43" w:rsidP="001E6B43">
      <w:pPr>
        <w:pStyle w:val="Ruller4"/>
      </w:pPr>
      <w:r w:rsidRPr="003E4F42">
        <w:rPr>
          <w:rFonts w:hint="cs"/>
          <w:rtl/>
        </w:rPr>
        <w:t>בועז יוסף מצדו סבור שיש לדחות את העתירות על הסף ולחלופין לגופן. לטענתו, העתירות לא כללו משיבים רלוונטיים (כל חברי הועדות הממונות שמושפעים מהתיקון); העותרים לא מיצו הליכים מולו ומול יתר המשיבים; עתירת התנועה לאיכות השלטון לוקה בחוסר ניקיון כפיים; ואין לעותרים זכות עמידה (חרף העובדה שאילוז, מועמדת בבחירות לראשות עיריית טבריה, היא אחת העותרות בעתירת התנועה לטוהר המידות). אשר לגופו של התיקון, טוען בועז יוסף כי הוא אינו פרסונלי וכי הוא לא מהווה שינוי כללי המשחק תוך כדי המשחק, בין היתר בשים לב לכך ששינוי הזכאות "להשתתף במשחק" אינו מהווה לשיטתו "שינוי בכללי המשחק". לכך מוסיף יוסף כי התיקון אינו פוגע בזכויות חוקתיות ואף אם היה פוגע, הוא צולח את מבחני פסקת ההגבלה.</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מר אופיר נחמני (להלן: </w:t>
      </w:r>
      <w:r w:rsidRPr="003E4F42">
        <w:rPr>
          <w:rFonts w:ascii="Century" w:hAnsi="Century" w:cs="Miriam" w:hint="cs"/>
          <w:b/>
          <w:spacing w:val="0"/>
          <w:sz w:val="22"/>
          <w:szCs w:val="24"/>
          <w:rtl/>
        </w:rPr>
        <w:t>נחמני</w:t>
      </w:r>
      <w:r w:rsidRPr="003E4F42">
        <w:rPr>
          <w:rFonts w:hint="cs"/>
          <w:rtl/>
        </w:rPr>
        <w:t xml:space="preserve">), מועמד לראשות עיריית טבריה שצורף כמשיב לעתירת התנועה לאיכות השלטון, ציין בתשובתו כי תיקון מס' 53 "משנה את כללי המשחק תוך כדי המשחק", וכי הוא תיקון פרסונלי שנועד לשרת את בועז יוסף. לדבריו, המועמדים לראשות העירייה כבר הוציאו כספים רבים במסגרת הקמפיין לראשות עיריית טבריה, וכעת משנה התיקון את פני ההתמודדות לראשות העירייה. במישור הכללי, טוען נחמני כי התיקון יוביל לפגיעה באמון הציבור בוועדות הממונות. </w:t>
      </w:r>
    </w:p>
    <w:p w:rsidR="001E6B43" w:rsidRPr="003E4F42" w:rsidRDefault="001E6B43" w:rsidP="001E6B43">
      <w:pPr>
        <w:pStyle w:val="Ruller41"/>
        <w:rPr>
          <w:rtl/>
        </w:rPr>
      </w:pPr>
    </w:p>
    <w:p w:rsidR="001E6B43" w:rsidRPr="003E4F42" w:rsidRDefault="001E6B43" w:rsidP="001E6B43">
      <w:pPr>
        <w:pStyle w:val="Ruller4"/>
        <w:rPr>
          <w:rtl/>
        </w:rPr>
      </w:pPr>
      <w:r w:rsidRPr="003E4F42">
        <w:rPr>
          <w:rFonts w:hint="cs"/>
          <w:rtl/>
        </w:rPr>
        <w:t xml:space="preserve">במסגרת העתירות הוגשו שתי בקשות להצטרף כמשיבים להליכים. בקשה ראשונה הוגשה על ידי רון קובי, ראש עיריית טבריה לשעבר ומועמד לראשות העירייה. לטענתו, הוא נפגע ישיר מהתיקון, שלדבריו נחקק על ידי הכנסת שלא מאחורי מסך הבערות ומתוך מטרה להיטיב עם מתמודד פלוני. עוד לטענתו, התיקון פוגע בזכויות יסוד ודינו בטלות. בקשה שניה הוגשה על ידי מאות תושבי טבריה שטוענים, בעיקרם של דברים, כי יש לדחות את העתירות מאחר שלשיטתם התיקון נועד להרחיב את הזכות לבחור ולהיבחר; הוא אינו תפור למידותיו של בועז יוסף; והוא אינו פוגע בזכויות </w:t>
      </w:r>
      <w:r w:rsidRPr="003E4F42">
        <w:rPr>
          <w:rFonts w:hint="cs"/>
          <w:rtl/>
        </w:rPr>
        <w:lastRenderedPageBreak/>
        <w:t xml:space="preserve">חוקתיות שכלולות בחוקי היסוד. ביחס לבקשות אלו קבענו ביום 27.7.2023 כי נסתפק בעמדות הכתובות שהוגשו. </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rPr>
          <w:rtl/>
        </w:rPr>
      </w:pPr>
      <w:r w:rsidRPr="003E4F42">
        <w:rPr>
          <w:rFonts w:hint="cs"/>
          <w:rtl/>
        </w:rPr>
        <w:t xml:space="preserve">ביום 30.7.2023 קיימנו דיון בעתירות ובסיומו, נוכח סד הזמנים שעליו עמדנו, ניתן פסק דין חלקי בזו הלשון (להלן: </w:t>
      </w:r>
      <w:r w:rsidRPr="003E4F42">
        <w:rPr>
          <w:rFonts w:ascii="Century" w:hAnsi="Century" w:cs="Miriam" w:hint="cs"/>
          <w:b/>
          <w:spacing w:val="0"/>
          <w:sz w:val="22"/>
          <w:szCs w:val="24"/>
          <w:rtl/>
        </w:rPr>
        <w:t>פסק דיננו החלקי</w:t>
      </w:r>
      <w:r w:rsidRPr="003E4F42">
        <w:rPr>
          <w:rFonts w:hint="cs"/>
          <w:rtl/>
        </w:rPr>
        <w:t xml:space="preserve">):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tl/>
        </w:rPr>
        <w:t>1.</w:t>
      </w:r>
      <w:r w:rsidRPr="003E4F42">
        <w:rPr>
          <w:rtl/>
        </w:rPr>
        <w:tab/>
      </w:r>
      <w:r w:rsidRPr="003E4F42">
        <w:rPr>
          <w:rFonts w:hint="eastAsia"/>
          <w:rtl/>
        </w:rPr>
        <w:t>לאחר</w:t>
      </w:r>
      <w:r w:rsidRPr="003E4F42">
        <w:rPr>
          <w:rtl/>
        </w:rPr>
        <w:t xml:space="preserve"> </w:t>
      </w:r>
      <w:r w:rsidRPr="003E4F42">
        <w:rPr>
          <w:rFonts w:hint="eastAsia"/>
          <w:rtl/>
        </w:rPr>
        <w:t>שמיעת</w:t>
      </w:r>
      <w:r w:rsidRPr="003E4F42">
        <w:rPr>
          <w:rtl/>
        </w:rPr>
        <w:t xml:space="preserve"> </w:t>
      </w:r>
      <w:r w:rsidRPr="003E4F42">
        <w:rPr>
          <w:rFonts w:hint="eastAsia"/>
          <w:rtl/>
        </w:rPr>
        <w:t>טיעוני</w:t>
      </w:r>
      <w:r w:rsidRPr="003E4F42">
        <w:rPr>
          <w:rtl/>
        </w:rPr>
        <w:t xml:space="preserve"> </w:t>
      </w:r>
      <w:r w:rsidRPr="003E4F42">
        <w:rPr>
          <w:rFonts w:hint="eastAsia"/>
          <w:rtl/>
        </w:rPr>
        <w:t>הצדדים</w:t>
      </w:r>
      <w:r w:rsidRPr="003E4F42">
        <w:rPr>
          <w:rtl/>
        </w:rPr>
        <w:t xml:space="preserve"> </w:t>
      </w:r>
      <w:r w:rsidRPr="003E4F42">
        <w:rPr>
          <w:rFonts w:hint="eastAsia"/>
          <w:rtl/>
        </w:rPr>
        <w:t>בעתירות</w:t>
      </w:r>
      <w:r w:rsidRPr="003E4F42">
        <w:rPr>
          <w:rtl/>
        </w:rPr>
        <w:t xml:space="preserve"> </w:t>
      </w:r>
      <w:r w:rsidRPr="003E4F42">
        <w:rPr>
          <w:rFonts w:hint="eastAsia"/>
          <w:rtl/>
        </w:rPr>
        <w:t>דנן</w:t>
      </w:r>
      <w:r w:rsidRPr="003E4F42">
        <w:rPr>
          <w:rtl/>
        </w:rPr>
        <w:t xml:space="preserve"> </w:t>
      </w:r>
      <w:r w:rsidRPr="003E4F42">
        <w:rPr>
          <w:rFonts w:hint="eastAsia"/>
          <w:rtl/>
        </w:rPr>
        <w:t>החלטנו</w:t>
      </w:r>
      <w:r w:rsidRPr="003E4F42">
        <w:rPr>
          <w:rtl/>
        </w:rPr>
        <w:t xml:space="preserve"> </w:t>
      </w:r>
      <w:r w:rsidRPr="003E4F42">
        <w:rPr>
          <w:rFonts w:hint="eastAsia"/>
          <w:rtl/>
        </w:rPr>
        <w:t>פה</w:t>
      </w:r>
      <w:r w:rsidRPr="003E4F42">
        <w:rPr>
          <w:rtl/>
        </w:rPr>
        <w:t xml:space="preserve"> </w:t>
      </w:r>
      <w:r w:rsidRPr="003E4F42">
        <w:rPr>
          <w:rFonts w:hint="eastAsia"/>
          <w:rtl/>
        </w:rPr>
        <w:t>אחד</w:t>
      </w:r>
      <w:r w:rsidRPr="003E4F42">
        <w:rPr>
          <w:rtl/>
        </w:rPr>
        <w:t xml:space="preserve"> </w:t>
      </w:r>
      <w:r w:rsidRPr="003E4F42">
        <w:rPr>
          <w:rFonts w:hint="eastAsia"/>
          <w:rtl/>
        </w:rPr>
        <w:t>כי</w:t>
      </w:r>
      <w:r w:rsidRPr="003E4F42">
        <w:rPr>
          <w:rtl/>
        </w:rPr>
        <w:t xml:space="preserve"> </w:t>
      </w:r>
      <w:r w:rsidRPr="003E4F42">
        <w:rPr>
          <w:rFonts w:hint="eastAsia"/>
          <w:rtl/>
        </w:rPr>
        <w:t>הוראות</w:t>
      </w:r>
      <w:r w:rsidRPr="003E4F42">
        <w:rPr>
          <w:rtl/>
        </w:rPr>
        <w:t xml:space="preserve"> </w:t>
      </w:r>
      <w:r w:rsidRPr="003E4F42">
        <w:rPr>
          <w:rFonts w:hint="eastAsia"/>
          <w:rtl/>
        </w:rPr>
        <w:t>תיקון</w:t>
      </w:r>
      <w:r w:rsidRPr="003E4F42">
        <w:rPr>
          <w:rtl/>
        </w:rPr>
        <w:t xml:space="preserve"> </w:t>
      </w:r>
      <w:r w:rsidRPr="003E4F42">
        <w:rPr>
          <w:rFonts w:hint="eastAsia"/>
          <w:rtl/>
        </w:rPr>
        <w:t>מס</w:t>
      </w:r>
      <w:r w:rsidRPr="003E4F42">
        <w:rPr>
          <w:rtl/>
        </w:rPr>
        <w:t xml:space="preserve">' 53 </w:t>
      </w:r>
      <w:r w:rsidRPr="003E4F42">
        <w:rPr>
          <w:rFonts w:hint="eastAsia"/>
          <w:rtl/>
        </w:rPr>
        <w:t>לחוק</w:t>
      </w:r>
      <w:r w:rsidRPr="003E4F42">
        <w:rPr>
          <w:rtl/>
        </w:rPr>
        <w:t xml:space="preserve"> </w:t>
      </w:r>
      <w:r w:rsidRPr="003E4F42">
        <w:rPr>
          <w:rFonts w:hint="eastAsia"/>
          <w:rtl/>
        </w:rPr>
        <w:t>הרשויות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בחירות</w:t>
      </w:r>
      <w:r w:rsidRPr="003E4F42">
        <w:rPr>
          <w:rtl/>
        </w:rPr>
        <w:t xml:space="preserve">), </w:t>
      </w:r>
      <w:r w:rsidRPr="003E4F42">
        <w:rPr>
          <w:rFonts w:hint="eastAsia"/>
          <w:rtl/>
        </w:rPr>
        <w:t>התשכ</w:t>
      </w:r>
      <w:r w:rsidRPr="003E4F42">
        <w:rPr>
          <w:rtl/>
        </w:rPr>
        <w:t>"</w:t>
      </w:r>
      <w:r w:rsidRPr="003E4F42">
        <w:rPr>
          <w:rFonts w:hint="eastAsia"/>
          <w:rtl/>
        </w:rPr>
        <w:t>ה</w:t>
      </w:r>
      <w:r w:rsidRPr="003E4F42">
        <w:rPr>
          <w:rtl/>
        </w:rPr>
        <w:t xml:space="preserve">-1965 </w:t>
      </w:r>
      <w:r w:rsidRPr="003E4F42">
        <w:rPr>
          <w:rFonts w:hint="eastAsia"/>
          <w:rtl/>
        </w:rPr>
        <w:t>יפורשו</w:t>
      </w:r>
      <w:r w:rsidRPr="003E4F42">
        <w:rPr>
          <w:rtl/>
        </w:rPr>
        <w:t xml:space="preserve"> </w:t>
      </w:r>
      <w:r w:rsidRPr="003E4F42">
        <w:rPr>
          <w:rFonts w:hint="eastAsia"/>
          <w:rtl/>
        </w:rPr>
        <w:t>באופן</w:t>
      </w:r>
      <w:r w:rsidRPr="003E4F42">
        <w:rPr>
          <w:rtl/>
        </w:rPr>
        <w:t xml:space="preserve"> </w:t>
      </w:r>
      <w:r w:rsidRPr="003E4F42">
        <w:rPr>
          <w:rFonts w:hint="eastAsia"/>
          <w:rtl/>
        </w:rPr>
        <w:t>שלא</w:t>
      </w:r>
      <w:r w:rsidRPr="003E4F42">
        <w:rPr>
          <w:rtl/>
        </w:rPr>
        <w:t xml:space="preserve"> </w:t>
      </w:r>
      <w:r w:rsidRPr="003E4F42">
        <w:rPr>
          <w:rFonts w:hint="eastAsia"/>
          <w:rtl/>
        </w:rPr>
        <w:t>תהא</w:t>
      </w:r>
      <w:r w:rsidRPr="003E4F42">
        <w:rPr>
          <w:rtl/>
        </w:rPr>
        <w:t xml:space="preserve"> </w:t>
      </w:r>
      <w:r w:rsidRPr="003E4F42">
        <w:rPr>
          <w:rFonts w:hint="eastAsia"/>
          <w:rtl/>
        </w:rPr>
        <w:t>להן</w:t>
      </w:r>
      <w:r w:rsidRPr="003E4F42">
        <w:rPr>
          <w:rtl/>
        </w:rPr>
        <w:t xml:space="preserve"> </w:t>
      </w:r>
      <w:r w:rsidRPr="003E4F42">
        <w:rPr>
          <w:rFonts w:hint="eastAsia"/>
          <w:rtl/>
        </w:rPr>
        <w:t>תחולה</w:t>
      </w:r>
      <w:r w:rsidRPr="003E4F42">
        <w:rPr>
          <w:rtl/>
        </w:rPr>
        <w:t xml:space="preserve"> </w:t>
      </w:r>
      <w:r w:rsidRPr="003E4F42">
        <w:rPr>
          <w:rFonts w:hint="eastAsia"/>
          <w:rtl/>
        </w:rPr>
        <w:t>על</w:t>
      </w:r>
      <w:r w:rsidRPr="003E4F42">
        <w:rPr>
          <w:rtl/>
        </w:rPr>
        <w:t xml:space="preserve"> </w:t>
      </w:r>
      <w:r w:rsidRPr="003E4F42">
        <w:rPr>
          <w:rFonts w:hint="eastAsia"/>
          <w:rtl/>
        </w:rPr>
        <w:t>הבחירות</w:t>
      </w:r>
      <w:r w:rsidRPr="003E4F42">
        <w:rPr>
          <w:rtl/>
        </w:rPr>
        <w:t xml:space="preserve"> </w:t>
      </w:r>
      <w:r w:rsidRPr="003E4F42">
        <w:rPr>
          <w:rFonts w:hint="eastAsia"/>
          <w:rtl/>
        </w:rPr>
        <w:t>הקרובות</w:t>
      </w:r>
      <w:r w:rsidRPr="003E4F42">
        <w:rPr>
          <w:rtl/>
        </w:rPr>
        <w:t xml:space="preserve"> </w:t>
      </w:r>
      <w:r w:rsidRPr="003E4F42">
        <w:rPr>
          <w:rFonts w:hint="eastAsia"/>
          <w:rtl/>
        </w:rPr>
        <w:t>לרשויות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שתתקיימנה</w:t>
      </w:r>
      <w:r w:rsidRPr="003E4F42">
        <w:rPr>
          <w:rtl/>
        </w:rPr>
        <w:t xml:space="preserve"> </w:t>
      </w:r>
      <w:r w:rsidRPr="003E4F42">
        <w:rPr>
          <w:rFonts w:hint="eastAsia"/>
          <w:rtl/>
        </w:rPr>
        <w:t>ביום</w:t>
      </w:r>
      <w:r w:rsidRPr="003E4F42">
        <w:rPr>
          <w:rtl/>
        </w:rPr>
        <w:t xml:space="preserve"> 31.10.2023 (</w:t>
      </w:r>
      <w:r w:rsidRPr="003E4F42">
        <w:rPr>
          <w:rFonts w:hint="eastAsia"/>
          <w:rtl/>
        </w:rPr>
        <w:t>ט</w:t>
      </w:r>
      <w:r w:rsidRPr="003E4F42">
        <w:rPr>
          <w:rtl/>
        </w:rPr>
        <w:t>"</w:t>
      </w:r>
      <w:r w:rsidRPr="003E4F42">
        <w:rPr>
          <w:rFonts w:hint="eastAsia"/>
          <w:rtl/>
        </w:rPr>
        <w:t>ז</w:t>
      </w:r>
      <w:r w:rsidRPr="003E4F42">
        <w:rPr>
          <w:rtl/>
        </w:rPr>
        <w:t xml:space="preserve"> </w:t>
      </w:r>
      <w:r w:rsidRPr="003E4F42">
        <w:rPr>
          <w:rFonts w:hint="eastAsia"/>
          <w:rtl/>
        </w:rPr>
        <w:t>בחשון</w:t>
      </w:r>
      <w:r w:rsidRPr="003E4F42">
        <w:rPr>
          <w:rtl/>
        </w:rPr>
        <w:t xml:space="preserve"> </w:t>
      </w:r>
      <w:r w:rsidRPr="003E4F42">
        <w:rPr>
          <w:rFonts w:hint="eastAsia"/>
          <w:rtl/>
        </w:rPr>
        <w:t>התשפ</w:t>
      </w:r>
      <w:r w:rsidRPr="003E4F42">
        <w:rPr>
          <w:rtl/>
        </w:rPr>
        <w:t>"</w:t>
      </w:r>
      <w:r w:rsidRPr="003E4F42">
        <w:rPr>
          <w:rFonts w:hint="eastAsia"/>
          <w:rtl/>
        </w:rPr>
        <w:t>ד</w:t>
      </w:r>
      <w:r w:rsidRPr="003E4F42">
        <w:rPr>
          <w:rtl/>
        </w:rPr>
        <w:t>).</w:t>
      </w:r>
    </w:p>
    <w:p w:rsidR="001E6B43" w:rsidRPr="003E4F42" w:rsidRDefault="001E6B43" w:rsidP="001E6B43">
      <w:pPr>
        <w:pStyle w:val="Ruller5"/>
        <w:rPr>
          <w:rtl/>
        </w:rPr>
      </w:pPr>
    </w:p>
    <w:p w:rsidR="001E6B43" w:rsidRPr="003E4F42" w:rsidRDefault="001E6B43" w:rsidP="001E6B43">
      <w:pPr>
        <w:pStyle w:val="Ruller5"/>
        <w:rPr>
          <w:rtl/>
        </w:rPr>
      </w:pPr>
      <w:r w:rsidRPr="003E4F42">
        <w:rPr>
          <w:rtl/>
        </w:rPr>
        <w:t>2.</w:t>
      </w:r>
      <w:r w:rsidRPr="003E4F42">
        <w:rPr>
          <w:rtl/>
        </w:rPr>
        <w:tab/>
      </w:r>
      <w:r w:rsidRPr="003E4F42">
        <w:rPr>
          <w:rFonts w:hint="eastAsia"/>
          <w:rtl/>
        </w:rPr>
        <w:t>כמו</w:t>
      </w:r>
      <w:r w:rsidRPr="003E4F42">
        <w:rPr>
          <w:rtl/>
        </w:rPr>
        <w:t xml:space="preserve"> </w:t>
      </w:r>
      <w:r w:rsidRPr="003E4F42">
        <w:rPr>
          <w:rFonts w:hint="eastAsia"/>
          <w:rtl/>
        </w:rPr>
        <w:t>כן</w:t>
      </w:r>
      <w:r w:rsidRPr="003E4F42">
        <w:rPr>
          <w:rtl/>
        </w:rPr>
        <w:t xml:space="preserve">, </w:t>
      </w:r>
      <w:r w:rsidRPr="003E4F42">
        <w:rPr>
          <w:rFonts w:hint="eastAsia"/>
          <w:rtl/>
        </w:rPr>
        <w:t>ובהינתן</w:t>
      </w:r>
      <w:r w:rsidRPr="003E4F42">
        <w:rPr>
          <w:rtl/>
        </w:rPr>
        <w:t xml:space="preserve"> </w:t>
      </w:r>
      <w:r w:rsidRPr="003E4F42">
        <w:rPr>
          <w:rFonts w:hint="eastAsia"/>
          <w:rtl/>
        </w:rPr>
        <w:t>החלטתנו</w:t>
      </w:r>
      <w:r w:rsidRPr="003E4F42">
        <w:rPr>
          <w:rtl/>
        </w:rPr>
        <w:t xml:space="preserve"> </w:t>
      </w:r>
      <w:r w:rsidRPr="003E4F42">
        <w:rPr>
          <w:rFonts w:hint="eastAsia"/>
          <w:rtl/>
        </w:rPr>
        <w:t>זו</w:t>
      </w:r>
      <w:r w:rsidRPr="003E4F42">
        <w:rPr>
          <w:rtl/>
        </w:rPr>
        <w:t xml:space="preserve">, </w:t>
      </w:r>
      <w:r w:rsidRPr="003E4F42">
        <w:rPr>
          <w:rFonts w:hint="eastAsia"/>
          <w:rtl/>
        </w:rPr>
        <w:t>החלטנו</w:t>
      </w:r>
      <w:r w:rsidRPr="003E4F42">
        <w:rPr>
          <w:rtl/>
        </w:rPr>
        <w:t xml:space="preserve"> </w:t>
      </w:r>
      <w:r w:rsidRPr="003E4F42">
        <w:rPr>
          <w:rFonts w:hint="eastAsia"/>
          <w:rtl/>
        </w:rPr>
        <w:t>עוד</w:t>
      </w:r>
      <w:r w:rsidRPr="003E4F42">
        <w:rPr>
          <w:rtl/>
        </w:rPr>
        <w:t xml:space="preserve"> </w:t>
      </w:r>
      <w:r w:rsidRPr="003E4F42">
        <w:rPr>
          <w:rFonts w:hint="eastAsia"/>
          <w:rtl/>
        </w:rPr>
        <w:t>כי</w:t>
      </w:r>
      <w:r w:rsidRPr="003E4F42">
        <w:rPr>
          <w:rtl/>
        </w:rPr>
        <w:t xml:space="preserve"> </w:t>
      </w:r>
      <w:r w:rsidRPr="003E4F42">
        <w:rPr>
          <w:rFonts w:hint="eastAsia"/>
          <w:rtl/>
        </w:rPr>
        <w:t>לעת</w:t>
      </w:r>
      <w:r w:rsidRPr="003E4F42">
        <w:rPr>
          <w:rtl/>
        </w:rPr>
        <w:t xml:space="preserve"> </w:t>
      </w:r>
      <w:r w:rsidRPr="003E4F42">
        <w:rPr>
          <w:rFonts w:hint="eastAsia"/>
          <w:rtl/>
        </w:rPr>
        <w:t>הזו</w:t>
      </w:r>
      <w:r w:rsidRPr="003E4F42">
        <w:rPr>
          <w:rtl/>
        </w:rPr>
        <w:t xml:space="preserve">, </w:t>
      </w:r>
      <w:r w:rsidRPr="003E4F42">
        <w:rPr>
          <w:rFonts w:hint="eastAsia"/>
          <w:rtl/>
        </w:rPr>
        <w:t>לא</w:t>
      </w:r>
      <w:r w:rsidRPr="003E4F42">
        <w:rPr>
          <w:rtl/>
        </w:rPr>
        <w:t xml:space="preserve"> </w:t>
      </w:r>
      <w:r w:rsidRPr="003E4F42">
        <w:rPr>
          <w:rFonts w:hint="eastAsia"/>
          <w:rtl/>
        </w:rPr>
        <w:t>נדרשת</w:t>
      </w:r>
      <w:r w:rsidRPr="003E4F42">
        <w:rPr>
          <w:rtl/>
        </w:rPr>
        <w:t xml:space="preserve"> </w:t>
      </w:r>
      <w:r w:rsidRPr="003E4F42">
        <w:rPr>
          <w:rFonts w:hint="eastAsia"/>
          <w:rtl/>
        </w:rPr>
        <w:t>הכרעה</w:t>
      </w:r>
      <w:r w:rsidRPr="003E4F42">
        <w:rPr>
          <w:rtl/>
        </w:rPr>
        <w:t xml:space="preserve"> </w:t>
      </w:r>
      <w:r w:rsidRPr="003E4F42">
        <w:rPr>
          <w:rFonts w:hint="eastAsia"/>
          <w:rtl/>
        </w:rPr>
        <w:t>בסוגיות</w:t>
      </w:r>
      <w:r w:rsidRPr="003E4F42">
        <w:rPr>
          <w:rtl/>
        </w:rPr>
        <w:t xml:space="preserve"> </w:t>
      </w:r>
      <w:r w:rsidRPr="003E4F42">
        <w:rPr>
          <w:rFonts w:hint="eastAsia"/>
          <w:rtl/>
        </w:rPr>
        <w:t>החוקתיות</w:t>
      </w:r>
      <w:r w:rsidRPr="003E4F42">
        <w:rPr>
          <w:rtl/>
        </w:rPr>
        <w:t xml:space="preserve">, </w:t>
      </w:r>
      <w:r w:rsidRPr="003E4F42">
        <w:rPr>
          <w:rFonts w:hint="eastAsia"/>
          <w:rtl/>
        </w:rPr>
        <w:t>וממילא</w:t>
      </w:r>
      <w:r w:rsidRPr="003E4F42">
        <w:rPr>
          <w:rtl/>
        </w:rPr>
        <w:t xml:space="preserve"> </w:t>
      </w:r>
      <w:r w:rsidRPr="003E4F42">
        <w:rPr>
          <w:rFonts w:hint="eastAsia"/>
          <w:rtl/>
        </w:rPr>
        <w:t>הטענות</w:t>
      </w:r>
      <w:r w:rsidRPr="003E4F42">
        <w:rPr>
          <w:rtl/>
        </w:rPr>
        <w:t xml:space="preserve"> </w:t>
      </w:r>
      <w:r w:rsidRPr="003E4F42">
        <w:rPr>
          <w:rFonts w:hint="eastAsia"/>
          <w:rtl/>
        </w:rPr>
        <w:t>שמורות</w:t>
      </w:r>
      <w:r w:rsidRPr="003E4F42">
        <w:rPr>
          <w:rtl/>
        </w:rPr>
        <w:t>.</w:t>
      </w:r>
    </w:p>
    <w:p w:rsidR="001E6B43" w:rsidRPr="003E4F42" w:rsidRDefault="001E6B43" w:rsidP="001E6B43">
      <w:pPr>
        <w:pStyle w:val="Ruller5"/>
        <w:rPr>
          <w:rtl/>
        </w:rPr>
      </w:pPr>
    </w:p>
    <w:p w:rsidR="001E6B43" w:rsidRPr="003E4F42" w:rsidRDefault="001E6B43" w:rsidP="001E6B43">
      <w:pPr>
        <w:pStyle w:val="Ruller5"/>
        <w:rPr>
          <w:rtl/>
        </w:rPr>
      </w:pPr>
      <w:r w:rsidRPr="003E4F42">
        <w:rPr>
          <w:rtl/>
        </w:rPr>
        <w:t>3.</w:t>
      </w:r>
      <w:r w:rsidRPr="003E4F42">
        <w:rPr>
          <w:rtl/>
        </w:rPr>
        <w:tab/>
      </w:r>
      <w:r w:rsidRPr="003E4F42">
        <w:rPr>
          <w:rFonts w:hint="eastAsia"/>
          <w:rtl/>
        </w:rPr>
        <w:t>בשל</w:t>
      </w:r>
      <w:r w:rsidRPr="003E4F42">
        <w:rPr>
          <w:rtl/>
        </w:rPr>
        <w:t xml:space="preserve"> </w:t>
      </w:r>
      <w:r w:rsidRPr="003E4F42">
        <w:rPr>
          <w:rFonts w:hint="eastAsia"/>
          <w:rtl/>
        </w:rPr>
        <w:t>אילוצי</w:t>
      </w:r>
      <w:r w:rsidRPr="003E4F42">
        <w:rPr>
          <w:rtl/>
        </w:rPr>
        <w:t xml:space="preserve"> </w:t>
      </w:r>
      <w:r w:rsidRPr="003E4F42">
        <w:rPr>
          <w:rFonts w:hint="eastAsia"/>
          <w:rtl/>
        </w:rPr>
        <w:t>המועדים</w:t>
      </w:r>
      <w:r w:rsidRPr="003E4F42">
        <w:rPr>
          <w:rtl/>
        </w:rPr>
        <w:t xml:space="preserve"> </w:t>
      </w:r>
      <w:r w:rsidRPr="003E4F42">
        <w:rPr>
          <w:rFonts w:hint="eastAsia"/>
          <w:rtl/>
        </w:rPr>
        <w:t>הסטטוטוריים</w:t>
      </w:r>
      <w:r w:rsidRPr="003E4F42">
        <w:rPr>
          <w:rtl/>
        </w:rPr>
        <w:t xml:space="preserve">, </w:t>
      </w:r>
      <w:r w:rsidRPr="003E4F42">
        <w:rPr>
          <w:rFonts w:hint="eastAsia"/>
          <w:rtl/>
        </w:rPr>
        <w:t>ניתן</w:t>
      </w:r>
      <w:r w:rsidRPr="003E4F42">
        <w:rPr>
          <w:rtl/>
        </w:rPr>
        <w:t xml:space="preserve"> </w:t>
      </w:r>
      <w:r w:rsidRPr="003E4F42">
        <w:rPr>
          <w:rFonts w:hint="eastAsia"/>
          <w:rtl/>
        </w:rPr>
        <w:t>פסק</w:t>
      </w:r>
      <w:r w:rsidRPr="003E4F42">
        <w:rPr>
          <w:rtl/>
        </w:rPr>
        <w:t xml:space="preserve"> </w:t>
      </w:r>
      <w:r w:rsidRPr="003E4F42">
        <w:rPr>
          <w:rFonts w:hint="eastAsia"/>
          <w:rtl/>
        </w:rPr>
        <w:t>דין</w:t>
      </w:r>
      <w:r w:rsidRPr="003E4F42">
        <w:rPr>
          <w:rtl/>
        </w:rPr>
        <w:t xml:space="preserve"> </w:t>
      </w:r>
      <w:r w:rsidRPr="003E4F42">
        <w:rPr>
          <w:rFonts w:hint="eastAsia"/>
          <w:rtl/>
        </w:rPr>
        <w:t>זה</w:t>
      </w:r>
      <w:r w:rsidRPr="003E4F42">
        <w:rPr>
          <w:rtl/>
        </w:rPr>
        <w:t xml:space="preserve"> </w:t>
      </w:r>
      <w:r w:rsidRPr="003E4F42">
        <w:rPr>
          <w:rFonts w:hint="eastAsia"/>
          <w:rtl/>
        </w:rPr>
        <w:t>בלא</w:t>
      </w:r>
      <w:r w:rsidRPr="003E4F42">
        <w:rPr>
          <w:rtl/>
        </w:rPr>
        <w:t xml:space="preserve"> </w:t>
      </w:r>
      <w:r w:rsidRPr="003E4F42">
        <w:rPr>
          <w:rFonts w:hint="eastAsia"/>
          <w:rtl/>
        </w:rPr>
        <w:t>נימוקים</w:t>
      </w:r>
      <w:r w:rsidRPr="003E4F42">
        <w:rPr>
          <w:rtl/>
        </w:rPr>
        <w:t xml:space="preserve"> </w:t>
      </w:r>
      <w:r w:rsidRPr="003E4F42">
        <w:rPr>
          <w:rFonts w:hint="eastAsia"/>
          <w:rtl/>
        </w:rPr>
        <w:t>והנימוקים</w:t>
      </w:r>
      <w:r w:rsidRPr="003E4F42">
        <w:rPr>
          <w:rtl/>
        </w:rPr>
        <w:t xml:space="preserve"> </w:t>
      </w:r>
      <w:r w:rsidRPr="003E4F42">
        <w:rPr>
          <w:rFonts w:hint="eastAsia"/>
          <w:rtl/>
        </w:rPr>
        <w:t>יינתנו</w:t>
      </w:r>
      <w:r w:rsidRPr="003E4F42">
        <w:rPr>
          <w:rtl/>
        </w:rPr>
        <w:t xml:space="preserve"> </w:t>
      </w:r>
      <w:r w:rsidRPr="003E4F42">
        <w:rPr>
          <w:rFonts w:hint="eastAsia"/>
          <w:rtl/>
        </w:rPr>
        <w:t>בנפרד</w:t>
      </w:r>
      <w:r w:rsidRPr="003E4F42">
        <w:rPr>
          <w:rFonts w:hint="cs"/>
          <w:rtl/>
        </w:rPr>
        <w:t xml:space="preserve">". </w:t>
      </w:r>
    </w:p>
    <w:p w:rsidR="001E6B43" w:rsidRPr="003E4F42" w:rsidRDefault="001E6B43" w:rsidP="001E6B43">
      <w:pPr>
        <w:pStyle w:val="Ruller4"/>
        <w:numPr>
          <w:ilvl w:val="0"/>
          <w:numId w:val="0"/>
        </w:numPr>
        <w:rPr>
          <w:rtl/>
        </w:rPr>
      </w:pPr>
    </w:p>
    <w:p w:rsidR="001E6B43" w:rsidRPr="003E4F42" w:rsidRDefault="001E6B43" w:rsidP="001E6B43">
      <w:pPr>
        <w:pStyle w:val="Ruller41"/>
        <w:rPr>
          <w:rFonts w:ascii="Century" w:hAnsi="Century"/>
          <w:rtl/>
        </w:rPr>
      </w:pPr>
      <w:r w:rsidRPr="003E4F42">
        <w:rPr>
          <w:rFonts w:ascii="Century" w:hAnsi="Century"/>
          <w:rtl/>
        </w:rPr>
        <w:tab/>
      </w:r>
      <w:r w:rsidRPr="003E4F42">
        <w:rPr>
          <w:rFonts w:ascii="Century" w:hAnsi="Century" w:hint="cs"/>
          <w:rtl/>
        </w:rPr>
        <w:t>הגיעה אפוא העת למתן הנמקתנו.</w:t>
      </w:r>
    </w:p>
    <w:p w:rsidR="001E6B43" w:rsidRDefault="001E6B43" w:rsidP="001E6B43">
      <w:pPr>
        <w:pStyle w:val="Ruller41"/>
        <w:rPr>
          <w:rFonts w:ascii="Century" w:hAnsi="Century" w:cs="Miriam"/>
          <w:b/>
          <w:spacing w:val="0"/>
          <w:szCs w:val="24"/>
          <w:rtl/>
        </w:rPr>
      </w:pPr>
    </w:p>
    <w:p w:rsidR="00FC610B" w:rsidRPr="001E712D" w:rsidRDefault="00FC610B" w:rsidP="001420A9">
      <w:pPr>
        <w:pStyle w:val="Ruller41"/>
        <w:rPr>
          <w:rtl/>
        </w:rPr>
      </w:pPr>
      <w:r>
        <w:rPr>
          <w:rtl/>
        </w:rPr>
        <w:tab/>
      </w:r>
      <w:r w:rsidRPr="003616C3">
        <w:rPr>
          <w:rFonts w:hint="cs"/>
          <w:rtl/>
        </w:rPr>
        <w:t xml:space="preserve">במאמר מוסגר יצוין </w:t>
      </w:r>
      <w:r w:rsidR="00C27A41" w:rsidRPr="003616C3">
        <w:rPr>
          <w:rFonts w:hint="cs"/>
          <w:rtl/>
        </w:rPr>
        <w:t xml:space="preserve">כי לאחר כתיבת שורות אלו, פורסם ברשומות ביום 24.10.2023 </w:t>
      </w:r>
      <w:r w:rsidRPr="003616C3">
        <w:rPr>
          <w:rFonts w:hint="cs"/>
          <w:rtl/>
        </w:rPr>
        <w:t>החוק לדחיית הבחירות הכלליות לרשויות המקומיות, התשפ"ד-2023, שהורה כי הבחירות תתקיימנה ביום</w:t>
      </w:r>
      <w:r w:rsidR="001420A9" w:rsidRPr="003616C3">
        <w:rPr>
          <w:rFonts w:hint="cs"/>
          <w:rtl/>
        </w:rPr>
        <w:t xml:space="preserve"> כ' בשבט התשפ"ד, 30 בינואר</w:t>
      </w:r>
      <w:r w:rsidRPr="003616C3">
        <w:rPr>
          <w:rFonts w:hint="cs"/>
          <w:rtl/>
        </w:rPr>
        <w:t xml:space="preserve"> 2024 (חלף המועד המקורי שצוין לעיל, 31.10.2023; יוער כי סעיף 1(ב) לחוק</w:t>
      </w:r>
      <w:r w:rsidR="000C39A5" w:rsidRPr="003616C3">
        <w:rPr>
          <w:rFonts w:hint="cs"/>
          <w:rtl/>
        </w:rPr>
        <w:t xml:space="preserve"> זה</w:t>
      </w:r>
      <w:r w:rsidRPr="003616C3">
        <w:rPr>
          <w:rFonts w:hint="cs"/>
          <w:rtl/>
        </w:rPr>
        <w:t xml:space="preserve"> מאפשר דחייה נוספת של מועד הבחירות). בהמשך דבריי אתייחס אפוא למועד הבחירות שהיה קבוע עת ניתן פסק דיננו החלקי בעתירות.</w:t>
      </w:r>
      <w:r>
        <w:rPr>
          <w:rFonts w:hint="cs"/>
          <w:rtl/>
        </w:rPr>
        <w:t xml:space="preserve"> </w:t>
      </w:r>
    </w:p>
    <w:p w:rsidR="00FC610B" w:rsidRPr="003E4F42" w:rsidRDefault="00FC610B" w:rsidP="001E6B43">
      <w:pPr>
        <w:pStyle w:val="Ruller41"/>
        <w:rPr>
          <w:rFonts w:ascii="Century" w:hAnsi="Century" w:cs="Miriam"/>
          <w:b/>
          <w:spacing w:val="0"/>
          <w:szCs w:val="24"/>
          <w:rtl/>
        </w:rPr>
      </w:pPr>
    </w:p>
    <w:p w:rsidR="001E6B43" w:rsidRPr="003E4F42" w:rsidRDefault="001E6B43" w:rsidP="001E6B43">
      <w:pPr>
        <w:pStyle w:val="1"/>
        <w:rPr>
          <w:rtl/>
        </w:rPr>
      </w:pPr>
      <w:r w:rsidRPr="003E4F42">
        <w:rPr>
          <w:rFonts w:hint="cs"/>
          <w:rtl/>
        </w:rPr>
        <w:t>דיון והכרעה</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pPr>
      <w:r w:rsidRPr="003E4F42">
        <w:rPr>
          <w:rFonts w:hint="cs"/>
          <w:rtl/>
        </w:rPr>
        <w:t xml:space="preserve">העתירות שלפנינו מעלות שורה של שאלות חוקתיות נכבדות ביחס לתיקון מס' 53, ובראשן טענות לפגיעה בזכות לבחור ולהיבחר ברשויות המקומיות; טענות לפגיעה בשוויון בהתמודדות לראשות הרשויות המקומיות; ולהשלכותיהם החוקתיות של פגם פרסונלי שדבק בתיקון ושל שינוי כללי הבחירות בתקופת הבחירות. ואולם, כפי שאראה להלן, אין הכרח </w:t>
      </w:r>
      <w:r w:rsidRPr="003E4F42">
        <w:rPr>
          <w:rtl/>
        </w:rPr>
        <w:t>–</w:t>
      </w:r>
      <w:r w:rsidRPr="003E4F42">
        <w:rPr>
          <w:rFonts w:hint="cs"/>
          <w:rtl/>
        </w:rPr>
        <w:t xml:space="preserve"> בשלב זה </w:t>
      </w:r>
      <w:r w:rsidRPr="003E4F42">
        <w:rPr>
          <w:rtl/>
        </w:rPr>
        <w:t>–</w:t>
      </w:r>
      <w:r w:rsidRPr="003E4F42">
        <w:rPr>
          <w:rFonts w:hint="cs"/>
          <w:rtl/>
        </w:rPr>
        <w:t xml:space="preserve"> להכריע בשאלות כבדות משקל אלו. זאת, מאחר שפרשנות ההסדר כפי שנקבע בפסק דיננו החלקי מרפאת חלק מן הפגמים שדבקו בתיקון, ובראשם </w:t>
      </w:r>
      <w:r w:rsidRPr="003E4F42">
        <w:rPr>
          <w:rFonts w:hint="cs"/>
          <w:rtl/>
        </w:rPr>
        <w:lastRenderedPageBreak/>
        <w:t xml:space="preserve">הנפקויות המעשיות של הפגם הפרסונלי והפגם שנוגע לשינוי כללי הבחירות במהלך תקופת הבחירות.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סדר הילוכנו יהיה כדלקמן: תחילה, אציג את הקשיים שמעורר תיקון מס' 53 ופגיעתו בזכויות בסיסיות כמו גם בעקרון האוטונומיה של הרשות המקומית. אמחיש כי פגיעות אלו מחריפות בשל מועד חקיקת התיקון. מכאן אפנה לשאלה שניצבת בליבת פסק הדין והיא מהי תחולתו בזמן של תיקון מס' 53. </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1"/>
        <w:rPr>
          <w:rtl/>
        </w:rPr>
      </w:pPr>
      <w:r w:rsidRPr="003E4F42">
        <w:rPr>
          <w:rFonts w:hint="cs"/>
          <w:rtl/>
        </w:rPr>
        <w:t xml:space="preserve">תיקון מס' 53 </w:t>
      </w:r>
      <w:r w:rsidRPr="003E4F42">
        <w:rPr>
          <w:rtl/>
        </w:rPr>
        <w:t>–</w:t>
      </w:r>
      <w:r w:rsidRPr="003E4F42">
        <w:rPr>
          <w:rFonts w:hint="cs"/>
          <w:rtl/>
        </w:rPr>
        <w:t xml:space="preserve"> פגיעה בזכויות ובהליך הדמוקרטי בשלטון המקומי</w:t>
      </w:r>
    </w:p>
    <w:p w:rsidR="001E6B43" w:rsidRPr="003E4F42" w:rsidRDefault="001E6B43" w:rsidP="001E6B43">
      <w:pPr>
        <w:pStyle w:val="Ruller41"/>
        <w:rPr>
          <w:rtl/>
        </w:rPr>
      </w:pPr>
    </w:p>
    <w:p w:rsidR="001E6B43" w:rsidRPr="003E4F42" w:rsidRDefault="001E6B43" w:rsidP="001E6B43">
      <w:pPr>
        <w:pStyle w:val="Ruller4"/>
        <w:rPr>
          <w:rFonts w:ascii="Century" w:hAnsi="Century"/>
          <w:sz w:val="22"/>
          <w:rtl/>
        </w:rPr>
      </w:pPr>
      <w:r w:rsidRPr="003E4F42">
        <w:rPr>
          <w:rFonts w:hint="cs"/>
          <w:rtl/>
        </w:rPr>
        <w:t xml:space="preserve">תיקון מס' 53 והעתירות שלפנינו נסבות על מערך האיזונים העדין שמצוי בליבו של הסדר הוועדות הממונות בשלטון המקומי. כפי שכבר ציינתי לעיל, הסמכות שניתנה בידי השלטון המרכזי להתערב בהחלטת הבוחר ברשות המקומית היא חריגה, והיא פוגעת בזכויות ובעקרון האוטונומיה של הרשות המקומיות. נעמוד על הדברים ביתר פירוט. החלפת השלטון הנבחר ברשות המקומית פוגעת בזכותם של תושבי המקום לבחור; בזכותם של המתמודדים להיבחר; ובזכותם של הנבחרים לפעול בהתאם למנדט שנתנו להם בוחריהם (עניין </w:t>
      </w:r>
      <w:r w:rsidRPr="003E4F42">
        <w:rPr>
          <w:rFonts w:ascii="Century" w:hAnsi="Century" w:cs="Miriam" w:hint="cs"/>
          <w:b/>
          <w:spacing w:val="0"/>
          <w:sz w:val="22"/>
          <w:szCs w:val="24"/>
          <w:rtl/>
        </w:rPr>
        <w:t>חביש</w:t>
      </w:r>
      <w:r w:rsidRPr="003E4F42">
        <w:rPr>
          <w:rFonts w:ascii="Century" w:hAnsi="Century" w:hint="cs"/>
          <w:sz w:val="22"/>
          <w:rtl/>
        </w:rPr>
        <w:t xml:space="preserve">, פסקאות 60-53; בג"ץ 6827/07 </w:t>
      </w:r>
      <w:r w:rsidRPr="003E4F42">
        <w:rPr>
          <w:rFonts w:ascii="Century" w:hAnsi="Century" w:cs="Miriam" w:hint="cs"/>
          <w:b/>
          <w:spacing w:val="0"/>
          <w:sz w:val="22"/>
          <w:szCs w:val="24"/>
          <w:rtl/>
        </w:rPr>
        <w:t>בריל נ' שר הפנים</w:t>
      </w:r>
      <w:r w:rsidRPr="003E4F42">
        <w:rPr>
          <w:rFonts w:ascii="Century" w:hAnsi="Century" w:hint="cs"/>
          <w:sz w:val="22"/>
          <w:rtl/>
        </w:rPr>
        <w:t>, פסקה 6 (2.1.2008); עניין</w:t>
      </w:r>
      <w:r w:rsidRPr="003E4F42">
        <w:rPr>
          <w:rFonts w:hint="cs"/>
          <w:rtl/>
        </w:rPr>
        <w:t xml:space="preserve"> </w:t>
      </w:r>
      <w:r w:rsidRPr="003E4F42">
        <w:rPr>
          <w:rFonts w:ascii="Century" w:hAnsi="Century" w:cs="Miriam" w:hint="cs"/>
          <w:b/>
          <w:spacing w:val="0"/>
          <w:sz w:val="22"/>
          <w:szCs w:val="24"/>
          <w:rtl/>
        </w:rPr>
        <w:t>חאג' יחיא</w:t>
      </w:r>
      <w:r w:rsidRPr="003E4F42">
        <w:rPr>
          <w:rFonts w:ascii="Century" w:hAnsi="Century" w:hint="cs"/>
          <w:sz w:val="22"/>
          <w:rtl/>
        </w:rPr>
        <w:t>, פסקה 10</w:t>
      </w:r>
      <w:r w:rsidRPr="003E4F42">
        <w:rPr>
          <w:rFonts w:hint="cs"/>
          <w:rtl/>
        </w:rPr>
        <w:t xml:space="preserve">; עניין </w:t>
      </w:r>
      <w:r w:rsidRPr="003E4F42">
        <w:rPr>
          <w:rFonts w:ascii="Century" w:hAnsi="Century" w:cs="Miriam" w:hint="cs"/>
          <w:b/>
          <w:spacing w:val="0"/>
          <w:sz w:val="22"/>
          <w:szCs w:val="24"/>
          <w:rtl/>
        </w:rPr>
        <w:t>חאג'</w:t>
      </w:r>
      <w:r w:rsidRPr="003E4F42">
        <w:rPr>
          <w:rFonts w:ascii="Century" w:hAnsi="Century" w:hint="cs"/>
          <w:sz w:val="22"/>
          <w:rtl/>
        </w:rPr>
        <w:t>, פסקה 4</w:t>
      </w:r>
      <w:r w:rsidRPr="003E4F42">
        <w:rPr>
          <w:rFonts w:hint="cs"/>
          <w:rtl/>
        </w:rPr>
        <w:t xml:space="preserve">). כפי שנקבע לא אחת בפסיקת בית משפט זה, הזכות לבחור ולהיבחר </w:t>
      </w:r>
      <w:r w:rsidRPr="003E4F42">
        <w:rPr>
          <w:rtl/>
        </w:rPr>
        <w:t>–</w:t>
      </w:r>
      <w:r w:rsidRPr="003E4F42">
        <w:rPr>
          <w:rFonts w:hint="cs"/>
          <w:rtl/>
        </w:rPr>
        <w:t xml:space="preserve"> גם במישור המקומי </w:t>
      </w:r>
      <w:r w:rsidRPr="003E4F42">
        <w:rPr>
          <w:rtl/>
        </w:rPr>
        <w:t>–</w:t>
      </w:r>
      <w:r w:rsidRPr="003E4F42">
        <w:rPr>
          <w:rFonts w:hint="cs"/>
          <w:rtl/>
        </w:rPr>
        <w:t xml:space="preserve"> הוכרה כזכות יסוד, וכך נקבע בהקשר זה בעניין </w:t>
      </w:r>
      <w:r w:rsidRPr="003E4F42">
        <w:rPr>
          <w:rFonts w:ascii="Century" w:hAnsi="Century" w:cs="Miriam" w:hint="cs"/>
          <w:b/>
          <w:spacing w:val="0"/>
          <w:sz w:val="22"/>
          <w:szCs w:val="24"/>
          <w:rtl/>
        </w:rPr>
        <w:t>משלב</w:t>
      </w:r>
      <w:r w:rsidRPr="003E4F42">
        <w:rPr>
          <w:rFonts w:ascii="Century" w:hAnsi="Century" w:hint="cs"/>
          <w:sz w:val="22"/>
          <w:rtl/>
        </w:rPr>
        <w:t>:</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 xml:space="preserve">"הזכות לבחור ולהיבחר היא נשמת אפה של מדינה דמוקרטית. זכות זו, שהיא זכות יסוד, </w:t>
      </w:r>
      <w:r w:rsidRPr="003E4F42">
        <w:rPr>
          <w:rFonts w:ascii="Century" w:hAnsi="Century" w:cs="Miriam" w:hint="cs"/>
          <w:b/>
          <w:spacing w:val="0"/>
          <w:szCs w:val="24"/>
          <w:rtl/>
        </w:rPr>
        <w:t xml:space="preserve">כוללת בחובה גם את זכות התושבים לבחור ולהיבחר לרשות המקומית </w:t>
      </w:r>
      <w:r w:rsidRPr="003E4F42">
        <w:rPr>
          <w:rFonts w:hint="cs"/>
          <w:rtl/>
        </w:rPr>
        <w:t xml:space="preserve">[...]. התושבים מנהלים את חיי היום-יום שלהם במקום מגוריהם. ועניינם בנעשה במוסדות השלטון המקומי אינו פחות מעניינם במערכות השלטון המרכזי" (ההדגשה הוספה </w:t>
      </w:r>
      <w:r w:rsidRPr="003E4F42">
        <w:rPr>
          <w:rtl/>
        </w:rPr>
        <w:t>–</w:t>
      </w:r>
      <w:r w:rsidRPr="003E4F42">
        <w:rPr>
          <w:rFonts w:hint="cs"/>
          <w:rtl/>
        </w:rPr>
        <w:t xml:space="preserve"> ע' פ'; בג"ץ 3791/93 </w:t>
      </w:r>
      <w:r w:rsidRPr="003E4F42">
        <w:rPr>
          <w:rFonts w:ascii="Century" w:hAnsi="Century" w:cs="Miriam" w:hint="cs"/>
          <w:b/>
          <w:spacing w:val="0"/>
          <w:szCs w:val="24"/>
          <w:rtl/>
        </w:rPr>
        <w:t>משלב נ' שר הפנים</w:t>
      </w:r>
      <w:r w:rsidRPr="003E4F42">
        <w:rPr>
          <w:rFonts w:ascii="Century" w:hAnsi="Century" w:hint="cs"/>
          <w:rtl/>
        </w:rPr>
        <w:t>, פ"ד מז(4) 126, 130 (1993)</w:t>
      </w:r>
      <w:r w:rsidRPr="003E4F42">
        <w:rPr>
          <w:rFonts w:hint="cs"/>
          <w:rtl/>
        </w:rPr>
        <w:t>).</w:t>
      </w:r>
    </w:p>
    <w:p w:rsidR="001E6B43" w:rsidRPr="003E4F42" w:rsidRDefault="001E6B43" w:rsidP="001E6B43">
      <w:pPr>
        <w:pStyle w:val="Ruller41"/>
        <w:rPr>
          <w:rtl/>
        </w:rPr>
      </w:pPr>
    </w:p>
    <w:p w:rsidR="001E6B43" w:rsidRPr="003E4F42" w:rsidRDefault="001E6B43" w:rsidP="001E6B43">
      <w:pPr>
        <w:pStyle w:val="Ruller41"/>
        <w:rPr>
          <w:rFonts w:ascii="Century" w:hAnsi="Century"/>
          <w:rtl/>
        </w:rPr>
      </w:pPr>
      <w:r w:rsidRPr="003E4F42">
        <w:rPr>
          <w:rtl/>
        </w:rPr>
        <w:tab/>
      </w:r>
      <w:r w:rsidRPr="003E4F42">
        <w:rPr>
          <w:rFonts w:hint="cs"/>
          <w:rtl/>
        </w:rPr>
        <w:t xml:space="preserve">על קביעה זו חזרנו בפסקי דין רבים (ראו, למשל: עניין </w:t>
      </w:r>
      <w:r w:rsidRPr="003E4F42">
        <w:rPr>
          <w:rFonts w:ascii="Century" w:hAnsi="Century" w:cs="Miriam" w:hint="cs"/>
          <w:b/>
          <w:spacing w:val="0"/>
          <w:szCs w:val="24"/>
          <w:rtl/>
        </w:rPr>
        <w:t>חביש</w:t>
      </w:r>
      <w:r w:rsidRPr="003E4F42">
        <w:rPr>
          <w:rFonts w:ascii="Century" w:hAnsi="Century" w:hint="cs"/>
          <w:rtl/>
        </w:rPr>
        <w:t xml:space="preserve">, פסקה 53; </w:t>
      </w:r>
      <w:r w:rsidRPr="003E4F42">
        <w:rPr>
          <w:rFonts w:ascii="Century" w:hAnsi="Century" w:hint="eastAsia"/>
          <w:rtl/>
        </w:rPr>
        <w:t>בג</w:t>
      </w:r>
      <w:r w:rsidRPr="003E4F42">
        <w:rPr>
          <w:rFonts w:ascii="Century" w:hAnsi="Century"/>
          <w:rtl/>
        </w:rPr>
        <w:t>"</w:t>
      </w:r>
      <w:r w:rsidRPr="003E4F42">
        <w:rPr>
          <w:rFonts w:ascii="Century" w:hAnsi="Century" w:hint="eastAsia"/>
          <w:rtl/>
        </w:rPr>
        <w:t>ץ</w:t>
      </w:r>
      <w:r w:rsidRPr="003E4F42">
        <w:rPr>
          <w:rFonts w:ascii="Century" w:hAnsi="Century"/>
          <w:rtl/>
        </w:rPr>
        <w:t xml:space="preserve"> 4921/13 </w:t>
      </w:r>
      <w:r w:rsidRPr="003E4F42">
        <w:rPr>
          <w:rFonts w:ascii="Century" w:hAnsi="Century" w:cs="Miriam" w:hint="eastAsia"/>
          <w:b/>
          <w:spacing w:val="0"/>
          <w:szCs w:val="24"/>
          <w:rtl/>
        </w:rPr>
        <w:t>אומ</w:t>
      </w:r>
      <w:r w:rsidRPr="003E4F42">
        <w:rPr>
          <w:rFonts w:ascii="Century" w:hAnsi="Century" w:cs="Miriam"/>
          <w:b/>
          <w:spacing w:val="0"/>
          <w:szCs w:val="24"/>
          <w:rtl/>
        </w:rPr>
        <w:t>"</w:t>
      </w:r>
      <w:r w:rsidRPr="003E4F42">
        <w:rPr>
          <w:rFonts w:ascii="Century" w:hAnsi="Century" w:cs="Miriam" w:hint="eastAsia"/>
          <w:b/>
          <w:spacing w:val="0"/>
          <w:szCs w:val="24"/>
          <w:rtl/>
        </w:rPr>
        <w:t>ץ</w:t>
      </w:r>
      <w:r w:rsidRPr="003E4F42">
        <w:rPr>
          <w:rFonts w:ascii="Century" w:hAnsi="Century" w:cs="Miriam"/>
          <w:b/>
          <w:spacing w:val="0"/>
          <w:szCs w:val="24"/>
          <w:rtl/>
        </w:rPr>
        <w:t xml:space="preserve"> –</w:t>
      </w:r>
      <w:r w:rsidRPr="003E4F42">
        <w:rPr>
          <w:rFonts w:ascii="Century" w:hAnsi="Century" w:cs="Miriam" w:hint="cs"/>
          <w:b/>
          <w:spacing w:val="0"/>
          <w:szCs w:val="24"/>
          <w:rtl/>
        </w:rPr>
        <w:t xml:space="preserve"> אזרחים למען מנהל תקין וצדק חברתי ומשפטי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ראש</w:t>
      </w:r>
      <w:r w:rsidRPr="003E4F42">
        <w:rPr>
          <w:rFonts w:ascii="Century" w:hAnsi="Century" w:cs="Miriam"/>
          <w:b/>
          <w:spacing w:val="0"/>
          <w:szCs w:val="24"/>
          <w:rtl/>
        </w:rPr>
        <w:t xml:space="preserve"> </w:t>
      </w:r>
      <w:r w:rsidRPr="003E4F42">
        <w:rPr>
          <w:rFonts w:ascii="Century" w:hAnsi="Century" w:cs="Miriam" w:hint="eastAsia"/>
          <w:b/>
          <w:spacing w:val="0"/>
          <w:szCs w:val="24"/>
          <w:rtl/>
        </w:rPr>
        <w:t>עיריית</w:t>
      </w:r>
      <w:r w:rsidRPr="003E4F42">
        <w:rPr>
          <w:rFonts w:ascii="Century" w:hAnsi="Century" w:cs="Miriam"/>
          <w:b/>
          <w:spacing w:val="0"/>
          <w:szCs w:val="24"/>
          <w:rtl/>
        </w:rPr>
        <w:t xml:space="preserve"> </w:t>
      </w:r>
      <w:r w:rsidRPr="003E4F42">
        <w:rPr>
          <w:rFonts w:ascii="Century" w:hAnsi="Century" w:cs="Miriam" w:hint="eastAsia"/>
          <w:b/>
          <w:spacing w:val="0"/>
          <w:szCs w:val="24"/>
          <w:rtl/>
        </w:rPr>
        <w:t>רמת</w:t>
      </w:r>
      <w:r w:rsidRPr="003E4F42">
        <w:rPr>
          <w:rFonts w:ascii="Century" w:hAnsi="Century" w:cs="Miriam"/>
          <w:b/>
          <w:spacing w:val="0"/>
          <w:szCs w:val="24"/>
          <w:rtl/>
        </w:rPr>
        <w:t xml:space="preserve"> </w:t>
      </w:r>
      <w:r w:rsidRPr="003E4F42">
        <w:rPr>
          <w:rFonts w:ascii="Century" w:hAnsi="Century" w:cs="Miriam" w:hint="eastAsia"/>
          <w:b/>
          <w:spacing w:val="0"/>
          <w:szCs w:val="24"/>
          <w:rtl/>
        </w:rPr>
        <w:t>השרון</w:t>
      </w:r>
      <w:r w:rsidRPr="003E4F42">
        <w:rPr>
          <w:rFonts w:ascii="Century" w:hAnsi="Century"/>
          <w:rtl/>
        </w:rPr>
        <w:t xml:space="preserve">, </w:t>
      </w:r>
      <w:r w:rsidRPr="003E4F42">
        <w:rPr>
          <w:rFonts w:ascii="Century" w:hAnsi="Century" w:hint="eastAsia"/>
          <w:rtl/>
        </w:rPr>
        <w:t>פ</w:t>
      </w:r>
      <w:r w:rsidRPr="003E4F42">
        <w:rPr>
          <w:rFonts w:ascii="Century" w:hAnsi="Century"/>
          <w:rtl/>
        </w:rPr>
        <w:t>"</w:t>
      </w:r>
      <w:r w:rsidRPr="003E4F42">
        <w:rPr>
          <w:rFonts w:ascii="Century" w:hAnsi="Century" w:hint="eastAsia"/>
          <w:rtl/>
        </w:rPr>
        <w:t>ד</w:t>
      </w:r>
      <w:r w:rsidRPr="003E4F42">
        <w:rPr>
          <w:rFonts w:ascii="Century" w:hAnsi="Century"/>
          <w:rtl/>
        </w:rPr>
        <w:t xml:space="preserve"> </w:t>
      </w:r>
      <w:r w:rsidRPr="003E4F42">
        <w:rPr>
          <w:rFonts w:ascii="Century" w:hAnsi="Century" w:hint="eastAsia"/>
          <w:rtl/>
        </w:rPr>
        <w:t>סו</w:t>
      </w:r>
      <w:r w:rsidRPr="003E4F42">
        <w:rPr>
          <w:rFonts w:ascii="Century" w:hAnsi="Century"/>
          <w:rtl/>
        </w:rPr>
        <w:t>(3) 135</w:t>
      </w:r>
      <w:r w:rsidRPr="003E4F42">
        <w:rPr>
          <w:rFonts w:ascii="Century" w:hAnsi="Century" w:hint="cs"/>
          <w:rtl/>
        </w:rPr>
        <w:t>,</w:t>
      </w:r>
      <w:r w:rsidRPr="003E4F42">
        <w:rPr>
          <w:rFonts w:ascii="Century" w:hAnsi="Century"/>
          <w:rtl/>
        </w:rPr>
        <w:t xml:space="preserve"> 181-180 (2013)</w:t>
      </w:r>
      <w:r w:rsidRPr="003E4F42">
        <w:rPr>
          <w:rFonts w:ascii="Century" w:hAnsi="Century" w:hint="cs"/>
          <w:rtl/>
        </w:rPr>
        <w:t>;</w:t>
      </w:r>
      <w:r w:rsidRPr="003E4F42">
        <w:rPr>
          <w:rFonts w:ascii="Century" w:hAnsi="Century" w:hint="eastAsia"/>
          <w:rtl/>
        </w:rPr>
        <w:t xml:space="preserve"> עע</w:t>
      </w:r>
      <w:r w:rsidRPr="003E4F42">
        <w:rPr>
          <w:rFonts w:ascii="Century" w:hAnsi="Century"/>
          <w:rtl/>
        </w:rPr>
        <w:t>"</w:t>
      </w:r>
      <w:r w:rsidRPr="003E4F42">
        <w:rPr>
          <w:rFonts w:ascii="Century" w:hAnsi="Century" w:hint="cs"/>
          <w:rtl/>
        </w:rPr>
        <w:t xml:space="preserve">ם </w:t>
      </w:r>
      <w:r w:rsidRPr="003E4F42">
        <w:rPr>
          <w:rFonts w:ascii="Century" w:hAnsi="Century"/>
          <w:rtl/>
        </w:rPr>
        <w:t xml:space="preserve">9091/11 </w:t>
      </w:r>
      <w:r w:rsidRPr="003E4F42">
        <w:rPr>
          <w:rFonts w:ascii="Century" w:hAnsi="Century" w:cs="Miriam" w:hint="eastAsia"/>
          <w:b/>
          <w:spacing w:val="0"/>
          <w:szCs w:val="24"/>
          <w:rtl/>
        </w:rPr>
        <w:t>שרון</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הממונה</w:t>
      </w:r>
      <w:r w:rsidRPr="003E4F42">
        <w:rPr>
          <w:rFonts w:ascii="Century" w:hAnsi="Century" w:cs="Miriam"/>
          <w:b/>
          <w:spacing w:val="0"/>
          <w:szCs w:val="24"/>
          <w:rtl/>
        </w:rPr>
        <w:t xml:space="preserve"> </w:t>
      </w:r>
      <w:r w:rsidRPr="003E4F42">
        <w:rPr>
          <w:rFonts w:ascii="Century" w:hAnsi="Century" w:cs="Miriam" w:hint="eastAsia"/>
          <w:b/>
          <w:spacing w:val="0"/>
          <w:szCs w:val="24"/>
          <w:rtl/>
        </w:rPr>
        <w:t>על</w:t>
      </w:r>
      <w:r w:rsidRPr="003E4F42">
        <w:rPr>
          <w:rFonts w:ascii="Century" w:hAnsi="Century" w:cs="Miriam"/>
          <w:b/>
          <w:spacing w:val="0"/>
          <w:szCs w:val="24"/>
          <w:rtl/>
        </w:rPr>
        <w:t xml:space="preserve"> </w:t>
      </w:r>
      <w:r w:rsidRPr="003E4F42">
        <w:rPr>
          <w:rFonts w:ascii="Century" w:hAnsi="Century" w:cs="Miriam" w:hint="eastAsia"/>
          <w:b/>
          <w:spacing w:val="0"/>
          <w:szCs w:val="24"/>
          <w:rtl/>
        </w:rPr>
        <w:t>מחוז</w:t>
      </w:r>
      <w:r w:rsidRPr="003E4F42">
        <w:rPr>
          <w:rFonts w:ascii="Century" w:hAnsi="Century" w:cs="Miriam"/>
          <w:b/>
          <w:spacing w:val="0"/>
          <w:szCs w:val="24"/>
          <w:rtl/>
        </w:rPr>
        <w:t xml:space="preserve"> </w:t>
      </w:r>
      <w:r w:rsidRPr="003E4F42">
        <w:rPr>
          <w:rFonts w:ascii="Century" w:hAnsi="Century" w:cs="Miriam" w:hint="eastAsia"/>
          <w:b/>
          <w:spacing w:val="0"/>
          <w:szCs w:val="24"/>
          <w:rtl/>
        </w:rPr>
        <w:t>מרכז</w:t>
      </w:r>
      <w:r w:rsidRPr="003E4F42">
        <w:rPr>
          <w:rFonts w:ascii="Century" w:hAnsi="Century"/>
          <w:rtl/>
        </w:rPr>
        <w:t xml:space="preserve">, </w:t>
      </w:r>
      <w:r w:rsidRPr="003E4F42">
        <w:rPr>
          <w:rFonts w:ascii="Century" w:hAnsi="Century" w:hint="eastAsia"/>
          <w:rtl/>
        </w:rPr>
        <w:t>פסקה</w:t>
      </w:r>
      <w:r w:rsidRPr="003E4F42">
        <w:rPr>
          <w:rFonts w:ascii="Century" w:hAnsi="Century"/>
          <w:rtl/>
        </w:rPr>
        <w:t xml:space="preserve"> 14 (11.9.2012); </w:t>
      </w:r>
      <w:r w:rsidRPr="003E4F42">
        <w:rPr>
          <w:rFonts w:ascii="Century" w:hAnsi="Century" w:hint="eastAsia"/>
          <w:rtl/>
        </w:rPr>
        <w:t>בג</w:t>
      </w:r>
      <w:r w:rsidRPr="003E4F42">
        <w:rPr>
          <w:rFonts w:ascii="Century" w:hAnsi="Century"/>
          <w:rtl/>
        </w:rPr>
        <w:t>"</w:t>
      </w:r>
      <w:r w:rsidRPr="003E4F42">
        <w:rPr>
          <w:rFonts w:ascii="Century" w:hAnsi="Century" w:hint="cs"/>
          <w:rtl/>
        </w:rPr>
        <w:t>ץ</w:t>
      </w:r>
      <w:r w:rsidRPr="003E4F42">
        <w:rPr>
          <w:rFonts w:ascii="Century" w:hAnsi="Century"/>
          <w:rtl/>
        </w:rPr>
        <w:t xml:space="preserve"> 7364/03 </w:t>
      </w:r>
      <w:r w:rsidRPr="003E4F42">
        <w:rPr>
          <w:rFonts w:ascii="Century" w:hAnsi="Century" w:cs="Miriam" w:hint="eastAsia"/>
          <w:b/>
          <w:spacing w:val="0"/>
          <w:szCs w:val="24"/>
          <w:rtl/>
        </w:rPr>
        <w:t>ג</w:t>
      </w:r>
      <w:r w:rsidRPr="003E4F42">
        <w:rPr>
          <w:rFonts w:ascii="Century" w:hAnsi="Century" w:cs="Miriam"/>
          <w:b/>
          <w:spacing w:val="0"/>
          <w:szCs w:val="24"/>
          <w:rtl/>
        </w:rPr>
        <w:t>'</w:t>
      </w:r>
      <w:r w:rsidRPr="003E4F42">
        <w:rPr>
          <w:rFonts w:ascii="Century" w:hAnsi="Century" w:cs="Miriam" w:hint="eastAsia"/>
          <w:b/>
          <w:spacing w:val="0"/>
          <w:szCs w:val="24"/>
          <w:rtl/>
        </w:rPr>
        <w:t>בארה</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שר</w:t>
      </w:r>
      <w:r w:rsidRPr="003E4F42">
        <w:rPr>
          <w:rFonts w:ascii="Century" w:hAnsi="Century" w:cs="Miriam"/>
          <w:b/>
          <w:spacing w:val="0"/>
          <w:szCs w:val="24"/>
          <w:rtl/>
        </w:rPr>
        <w:t xml:space="preserve"> </w:t>
      </w:r>
      <w:r w:rsidRPr="003E4F42">
        <w:rPr>
          <w:rFonts w:ascii="Century" w:hAnsi="Century" w:cs="Miriam" w:hint="eastAsia"/>
          <w:b/>
          <w:spacing w:val="0"/>
          <w:szCs w:val="24"/>
          <w:rtl/>
        </w:rPr>
        <w:t>הפנים</w:t>
      </w:r>
      <w:r w:rsidRPr="003E4F42">
        <w:rPr>
          <w:rFonts w:ascii="Century" w:hAnsi="Century"/>
          <w:rtl/>
        </w:rPr>
        <w:t xml:space="preserve">, </w:t>
      </w:r>
      <w:r w:rsidRPr="003E4F42">
        <w:rPr>
          <w:rFonts w:ascii="Century" w:hAnsi="Century" w:hint="eastAsia"/>
          <w:rtl/>
        </w:rPr>
        <w:t>פ</w:t>
      </w:r>
      <w:r w:rsidRPr="003E4F42">
        <w:rPr>
          <w:rFonts w:ascii="Century" w:hAnsi="Century"/>
          <w:rtl/>
        </w:rPr>
        <w:t>"</w:t>
      </w:r>
      <w:r w:rsidRPr="003E4F42">
        <w:rPr>
          <w:rFonts w:ascii="Century" w:hAnsi="Century" w:hint="eastAsia"/>
          <w:rtl/>
        </w:rPr>
        <w:t>ד</w:t>
      </w:r>
      <w:r w:rsidRPr="003E4F42">
        <w:rPr>
          <w:rFonts w:ascii="Century" w:hAnsi="Century"/>
          <w:rtl/>
        </w:rPr>
        <w:t xml:space="preserve"> </w:t>
      </w:r>
      <w:r w:rsidRPr="003E4F42">
        <w:rPr>
          <w:rFonts w:ascii="Century" w:hAnsi="Century" w:hint="eastAsia"/>
          <w:rtl/>
        </w:rPr>
        <w:t>נח</w:t>
      </w:r>
      <w:r w:rsidRPr="003E4F42">
        <w:rPr>
          <w:rFonts w:ascii="Century" w:hAnsi="Century"/>
          <w:rtl/>
        </w:rPr>
        <w:t>(1) 769, 777 (2003)</w:t>
      </w:r>
      <w:r w:rsidRPr="003E4F42">
        <w:rPr>
          <w:rFonts w:ascii="Century" w:hAnsi="Century" w:hint="cs"/>
          <w:rtl/>
        </w:rPr>
        <w:t xml:space="preserve">). לצד זאת, שאלת עיגונה של זכות זו בחוק יסוד טרם הוכרעה בפסיקת בית משפט זה (בג"ץ 2845/20 </w:t>
      </w:r>
      <w:r w:rsidRPr="003E4F42">
        <w:rPr>
          <w:rFonts w:ascii="Century" w:hAnsi="Century" w:cs="Miriam" w:hint="cs"/>
          <w:b/>
          <w:spacing w:val="0"/>
          <w:szCs w:val="24"/>
          <w:rtl/>
        </w:rPr>
        <w:t>מפלגת "זה מקומי" - המפלגה המקומית הישראלית נ' משרד האוצר</w:t>
      </w:r>
      <w:r w:rsidRPr="003E4F42">
        <w:rPr>
          <w:rFonts w:ascii="Century" w:hAnsi="Century" w:hint="cs"/>
          <w:rtl/>
        </w:rPr>
        <w:t xml:space="preserve">, פסקה 5 (27.5.2021); בג"ץ 8238/96 </w:t>
      </w:r>
      <w:r w:rsidRPr="003E4F42">
        <w:rPr>
          <w:rFonts w:ascii="Century" w:hAnsi="Century" w:cs="Miriam" w:hint="cs"/>
          <w:b/>
          <w:spacing w:val="0"/>
          <w:szCs w:val="24"/>
          <w:rtl/>
        </w:rPr>
        <w:t xml:space="preserve">אבו עראר נ' שר </w:t>
      </w:r>
      <w:r w:rsidRPr="003E4F42">
        <w:rPr>
          <w:rFonts w:ascii="Century" w:hAnsi="Century" w:hint="cs"/>
          <w:rtl/>
        </w:rPr>
        <w:t xml:space="preserve">הפנים, פ"ד נב(4) 26, 38 ו-47-46 </w:t>
      </w:r>
      <w:r w:rsidRPr="003E4F42">
        <w:rPr>
          <w:rFonts w:ascii="Century" w:hAnsi="Century" w:hint="cs"/>
          <w:rtl/>
        </w:rPr>
        <w:lastRenderedPageBreak/>
        <w:t xml:space="preserve">(1998) (להלן: עניין </w:t>
      </w:r>
      <w:r w:rsidRPr="003E4F42">
        <w:rPr>
          <w:rFonts w:ascii="Century" w:hAnsi="Century" w:cs="Miriam" w:hint="cs"/>
          <w:b/>
          <w:spacing w:val="0"/>
          <w:szCs w:val="24"/>
          <w:rtl/>
        </w:rPr>
        <w:t>אבו עראר</w:t>
      </w:r>
      <w:r w:rsidRPr="003E4F42">
        <w:rPr>
          <w:rFonts w:ascii="Century" w:hAnsi="Century" w:hint="cs"/>
          <w:rtl/>
        </w:rPr>
        <w:t xml:space="preserve">)). כפי שאראה להלן, אף העתירות שלפנינו אינן האכסניה המתאימה להכרעה בסוגיה זו. </w:t>
      </w:r>
    </w:p>
    <w:p w:rsidR="001E6B43" w:rsidRPr="003E4F42" w:rsidRDefault="001E6B43" w:rsidP="001E6B43">
      <w:pPr>
        <w:pStyle w:val="Ruller41"/>
        <w:rPr>
          <w:rFonts w:ascii="Century" w:hAnsi="Century"/>
          <w:rtl/>
        </w:rPr>
      </w:pPr>
    </w:p>
    <w:p w:rsidR="001E6B43" w:rsidRPr="003E4F42" w:rsidRDefault="001E6B43" w:rsidP="001E6B43">
      <w:pPr>
        <w:pStyle w:val="Ruller4"/>
        <w:rPr>
          <w:rFonts w:ascii="Century" w:hAnsi="Century"/>
          <w:sz w:val="22"/>
          <w:rtl/>
        </w:rPr>
      </w:pPr>
      <w:r w:rsidRPr="003E4F42">
        <w:rPr>
          <w:rFonts w:ascii="Century" w:hAnsi="Century"/>
          <w:sz w:val="22"/>
          <w:rtl/>
        </w:rPr>
        <w:tab/>
      </w:r>
      <w:r w:rsidRPr="003E4F42">
        <w:rPr>
          <w:rFonts w:hint="cs"/>
          <w:rtl/>
        </w:rPr>
        <w:t xml:space="preserve">אשר לעקרון האוטונומיה של הרשות המקומית, שיטת המשפט הישראלית הכירה בחשיבותו של עקרון זה ובערכו והוא קשור קשר הדוק להליך הדמוקרטי שמתנהל ברשות המקומית. כך, עמד על הדברים השופט </w:t>
      </w:r>
      <w:r w:rsidRPr="003E4F42">
        <w:rPr>
          <w:rFonts w:ascii="Century" w:hAnsi="Century" w:cs="Miriam" w:hint="cs"/>
          <w:b/>
          <w:spacing w:val="0"/>
          <w:sz w:val="22"/>
          <w:szCs w:val="24"/>
          <w:rtl/>
        </w:rPr>
        <w:t>א' שטיין</w:t>
      </w:r>
      <w:r w:rsidRPr="003E4F42">
        <w:rPr>
          <w:rFonts w:ascii="Century" w:hAnsi="Century" w:hint="cs"/>
          <w:sz w:val="22"/>
          <w:rtl/>
        </w:rPr>
        <w:t xml:space="preserve"> באחת הפרשות: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Fonts w:hint="eastAsia"/>
          <w:rtl/>
        </w:rPr>
        <w:t>עצמאות</w:t>
      </w:r>
      <w:r w:rsidRPr="003E4F42">
        <w:rPr>
          <w:rtl/>
        </w:rPr>
        <w:t xml:space="preserve"> </w:t>
      </w:r>
      <w:r w:rsidRPr="003E4F42">
        <w:rPr>
          <w:rFonts w:hint="eastAsia"/>
          <w:rtl/>
        </w:rPr>
        <w:t>השלטון</w:t>
      </w:r>
      <w:r w:rsidRPr="003E4F42">
        <w:rPr>
          <w:rtl/>
        </w:rPr>
        <w:t xml:space="preserve"> </w:t>
      </w:r>
      <w:r w:rsidRPr="003E4F42">
        <w:rPr>
          <w:rFonts w:hint="eastAsia"/>
          <w:rtl/>
        </w:rPr>
        <w:t>המקומי</w:t>
      </w:r>
      <w:r w:rsidRPr="003E4F42">
        <w:rPr>
          <w:rtl/>
        </w:rPr>
        <w:t xml:space="preserve"> </w:t>
      </w:r>
      <w:r w:rsidRPr="003E4F42">
        <w:rPr>
          <w:rFonts w:hint="eastAsia"/>
          <w:rtl/>
        </w:rPr>
        <w:t>מהווה</w:t>
      </w:r>
      <w:r w:rsidRPr="003E4F42">
        <w:rPr>
          <w:rtl/>
        </w:rPr>
        <w:t xml:space="preserve"> </w:t>
      </w:r>
      <w:r w:rsidRPr="003E4F42">
        <w:rPr>
          <w:rFonts w:hint="eastAsia"/>
          <w:rtl/>
        </w:rPr>
        <w:t>ביטוי</w:t>
      </w:r>
      <w:r w:rsidRPr="003E4F42">
        <w:rPr>
          <w:rtl/>
        </w:rPr>
        <w:t xml:space="preserve"> </w:t>
      </w:r>
      <w:r w:rsidRPr="003E4F42">
        <w:rPr>
          <w:rFonts w:hint="eastAsia"/>
          <w:rtl/>
        </w:rPr>
        <w:t>לדמוקרטיה</w:t>
      </w:r>
      <w:r w:rsidRPr="003E4F42">
        <w:rPr>
          <w:rtl/>
        </w:rPr>
        <w:t xml:space="preserve"> </w:t>
      </w:r>
      <w:r w:rsidRPr="003E4F42">
        <w:rPr>
          <w:rFonts w:hint="eastAsia"/>
          <w:rtl/>
        </w:rPr>
        <w:t>פלורליסטית</w:t>
      </w:r>
      <w:r w:rsidRPr="003E4F42">
        <w:rPr>
          <w:rtl/>
        </w:rPr>
        <w:t xml:space="preserve"> </w:t>
      </w:r>
      <w:r w:rsidRPr="003E4F42">
        <w:rPr>
          <w:rFonts w:hint="eastAsia"/>
          <w:rtl/>
        </w:rPr>
        <w:t>שבמסגרתה</w:t>
      </w:r>
      <w:r w:rsidRPr="003E4F42">
        <w:rPr>
          <w:rtl/>
        </w:rPr>
        <w:t xml:space="preserve"> </w:t>
      </w:r>
      <w:r w:rsidRPr="003E4F42">
        <w:rPr>
          <w:rFonts w:hint="eastAsia"/>
          <w:rtl/>
        </w:rPr>
        <w:t>כל</w:t>
      </w:r>
      <w:r w:rsidRPr="003E4F42">
        <w:rPr>
          <w:rtl/>
        </w:rPr>
        <w:t xml:space="preserve"> </w:t>
      </w:r>
      <w:r w:rsidRPr="003E4F42">
        <w:rPr>
          <w:rFonts w:hint="eastAsia"/>
          <w:rtl/>
        </w:rPr>
        <w:t>רשות</w:t>
      </w:r>
      <w:r w:rsidRPr="003E4F42">
        <w:rPr>
          <w:rtl/>
        </w:rPr>
        <w:t xml:space="preserve"> </w:t>
      </w:r>
      <w:r w:rsidRPr="003E4F42">
        <w:rPr>
          <w:rFonts w:hint="eastAsia"/>
          <w:rtl/>
        </w:rPr>
        <w:t>מקומית</w:t>
      </w:r>
      <w:r w:rsidRPr="003E4F42">
        <w:rPr>
          <w:rtl/>
        </w:rPr>
        <w:t xml:space="preserve"> </w:t>
      </w:r>
      <w:r w:rsidRPr="003E4F42">
        <w:rPr>
          <w:rFonts w:hint="eastAsia"/>
          <w:rtl/>
        </w:rPr>
        <w:t>מגשימה</w:t>
      </w:r>
      <w:r w:rsidRPr="003E4F42">
        <w:rPr>
          <w:rtl/>
        </w:rPr>
        <w:t xml:space="preserve"> </w:t>
      </w:r>
      <w:r w:rsidRPr="003E4F42">
        <w:rPr>
          <w:rFonts w:hint="eastAsia"/>
          <w:rtl/>
        </w:rPr>
        <w:t>את</w:t>
      </w:r>
      <w:r w:rsidRPr="003E4F42">
        <w:rPr>
          <w:rtl/>
        </w:rPr>
        <w:t xml:space="preserve"> </w:t>
      </w:r>
      <w:r w:rsidRPr="003E4F42">
        <w:rPr>
          <w:rFonts w:hint="eastAsia"/>
          <w:rtl/>
        </w:rPr>
        <w:t>רצון</w:t>
      </w:r>
      <w:r w:rsidRPr="003E4F42">
        <w:rPr>
          <w:rtl/>
        </w:rPr>
        <w:t xml:space="preserve"> </w:t>
      </w:r>
      <w:r w:rsidRPr="003E4F42">
        <w:rPr>
          <w:rFonts w:hint="eastAsia"/>
          <w:rtl/>
        </w:rPr>
        <w:t>תושביה</w:t>
      </w:r>
      <w:r w:rsidRPr="003E4F42">
        <w:rPr>
          <w:rtl/>
        </w:rPr>
        <w:t xml:space="preserve"> </w:t>
      </w:r>
      <w:r w:rsidRPr="003E4F42">
        <w:rPr>
          <w:rFonts w:hint="eastAsia"/>
          <w:rtl/>
        </w:rPr>
        <w:t>בנושאים</w:t>
      </w:r>
      <w:r w:rsidRPr="003E4F42">
        <w:rPr>
          <w:rtl/>
        </w:rPr>
        <w:t xml:space="preserve"> </w:t>
      </w:r>
      <w:r w:rsidRPr="003E4F42">
        <w:rPr>
          <w:rFonts w:hint="eastAsia"/>
          <w:rtl/>
        </w:rPr>
        <w:t>מוניציפליים</w:t>
      </w:r>
      <w:r w:rsidRPr="003E4F42">
        <w:rPr>
          <w:rtl/>
        </w:rPr>
        <w:t xml:space="preserve"> </w:t>
      </w:r>
      <w:r w:rsidRPr="003E4F42">
        <w:rPr>
          <w:rFonts w:hint="eastAsia"/>
          <w:rtl/>
        </w:rPr>
        <w:t>שונים</w:t>
      </w:r>
      <w:r w:rsidRPr="003E4F42">
        <w:rPr>
          <w:rtl/>
        </w:rPr>
        <w:t xml:space="preserve"> </w:t>
      </w:r>
      <w:r w:rsidRPr="003E4F42">
        <w:rPr>
          <w:rFonts w:hint="eastAsia"/>
          <w:rtl/>
        </w:rPr>
        <w:t>ומגוונים</w:t>
      </w:r>
      <w:r w:rsidRPr="003E4F42">
        <w:rPr>
          <w:rtl/>
        </w:rPr>
        <w:t xml:space="preserve">. </w:t>
      </w:r>
      <w:r w:rsidRPr="003E4F42">
        <w:rPr>
          <w:rFonts w:hint="eastAsia"/>
          <w:rtl/>
        </w:rPr>
        <w:t>רשות</w:t>
      </w:r>
      <w:r w:rsidRPr="003E4F42">
        <w:rPr>
          <w:rtl/>
        </w:rPr>
        <w:t xml:space="preserve"> </w:t>
      </w:r>
      <w:r w:rsidRPr="003E4F42">
        <w:rPr>
          <w:rFonts w:hint="eastAsia"/>
          <w:rtl/>
        </w:rPr>
        <w:t>מקומית</w:t>
      </w:r>
      <w:r w:rsidRPr="003E4F42">
        <w:rPr>
          <w:rtl/>
        </w:rPr>
        <w:t xml:space="preserve"> </w:t>
      </w:r>
      <w:r w:rsidRPr="003E4F42">
        <w:rPr>
          <w:rFonts w:hint="eastAsia"/>
          <w:rtl/>
        </w:rPr>
        <w:t>אחת</w:t>
      </w:r>
      <w:r w:rsidRPr="003E4F42">
        <w:rPr>
          <w:rtl/>
        </w:rPr>
        <w:t xml:space="preserve"> </w:t>
      </w:r>
      <w:r w:rsidRPr="003E4F42">
        <w:rPr>
          <w:rFonts w:hint="eastAsia"/>
          <w:rtl/>
        </w:rPr>
        <w:t>איננה</w:t>
      </w:r>
      <w:r w:rsidRPr="003E4F42">
        <w:rPr>
          <w:rtl/>
        </w:rPr>
        <w:t xml:space="preserve"> </w:t>
      </w:r>
      <w:r w:rsidRPr="003E4F42">
        <w:rPr>
          <w:rFonts w:hint="eastAsia"/>
          <w:rtl/>
        </w:rPr>
        <w:t>חייבת</w:t>
      </w:r>
      <w:r w:rsidRPr="003E4F42">
        <w:rPr>
          <w:rtl/>
        </w:rPr>
        <w:t xml:space="preserve"> </w:t>
      </w:r>
      <w:r w:rsidRPr="003E4F42">
        <w:rPr>
          <w:rFonts w:hint="eastAsia"/>
          <w:rtl/>
        </w:rPr>
        <w:t>להיות</w:t>
      </w:r>
      <w:r w:rsidRPr="003E4F42">
        <w:rPr>
          <w:rtl/>
        </w:rPr>
        <w:t xml:space="preserve"> </w:t>
      </w:r>
      <w:r w:rsidRPr="003E4F42">
        <w:rPr>
          <w:rFonts w:hint="eastAsia"/>
          <w:rtl/>
        </w:rPr>
        <w:t>דומה</w:t>
      </w:r>
      <w:r w:rsidRPr="003E4F42">
        <w:rPr>
          <w:rtl/>
        </w:rPr>
        <w:t xml:space="preserve"> </w:t>
      </w:r>
      <w:r w:rsidRPr="003E4F42">
        <w:rPr>
          <w:rFonts w:hint="eastAsia"/>
          <w:rtl/>
        </w:rPr>
        <w:t>לרשות</w:t>
      </w:r>
      <w:r w:rsidRPr="003E4F42">
        <w:rPr>
          <w:rtl/>
        </w:rPr>
        <w:t xml:space="preserve"> </w:t>
      </w:r>
      <w:r w:rsidRPr="003E4F42">
        <w:rPr>
          <w:rFonts w:hint="eastAsia"/>
          <w:rtl/>
        </w:rPr>
        <w:t>מקומית</w:t>
      </w:r>
      <w:r w:rsidRPr="003E4F42">
        <w:rPr>
          <w:rtl/>
        </w:rPr>
        <w:t xml:space="preserve"> </w:t>
      </w:r>
      <w:r w:rsidRPr="003E4F42">
        <w:rPr>
          <w:rFonts w:hint="eastAsia"/>
          <w:rtl/>
        </w:rPr>
        <w:t>אחרת</w:t>
      </w:r>
      <w:r w:rsidRPr="003E4F42">
        <w:rPr>
          <w:rtl/>
        </w:rPr>
        <w:t xml:space="preserve">. </w:t>
      </w:r>
    </w:p>
    <w:p w:rsidR="001E6B43" w:rsidRPr="003E4F42" w:rsidRDefault="001E6B43" w:rsidP="001E6B43">
      <w:pPr>
        <w:pStyle w:val="Ruller5"/>
      </w:pPr>
      <w:r w:rsidRPr="003E4F42">
        <w:rPr>
          <w:rFonts w:hint="eastAsia"/>
          <w:rtl/>
        </w:rPr>
        <w:t>רשות</w:t>
      </w:r>
      <w:r w:rsidRPr="003E4F42">
        <w:rPr>
          <w:rtl/>
        </w:rPr>
        <w:t xml:space="preserve"> </w:t>
      </w:r>
      <w:r w:rsidRPr="003E4F42">
        <w:rPr>
          <w:rFonts w:hint="eastAsia"/>
          <w:rtl/>
        </w:rPr>
        <w:t>מקומית</w:t>
      </w:r>
      <w:r w:rsidRPr="003E4F42">
        <w:rPr>
          <w:rtl/>
        </w:rPr>
        <w:t xml:space="preserve"> </w:t>
      </w:r>
      <w:r w:rsidRPr="003E4F42">
        <w:rPr>
          <w:rFonts w:hint="eastAsia"/>
          <w:rtl/>
        </w:rPr>
        <w:t>מקיימת</w:t>
      </w:r>
      <w:r w:rsidRPr="003E4F42">
        <w:rPr>
          <w:rtl/>
        </w:rPr>
        <w:t xml:space="preserve"> </w:t>
      </w:r>
      <w:r w:rsidRPr="003E4F42">
        <w:rPr>
          <w:rFonts w:hint="eastAsia"/>
          <w:rtl/>
        </w:rPr>
        <w:t>את</w:t>
      </w:r>
      <w:r w:rsidRPr="003E4F42">
        <w:rPr>
          <w:rtl/>
        </w:rPr>
        <w:t xml:space="preserve"> </w:t>
      </w:r>
      <w:r w:rsidRPr="003E4F42">
        <w:rPr>
          <w:rFonts w:hint="eastAsia"/>
          <w:rtl/>
        </w:rPr>
        <w:t>רצון</w:t>
      </w:r>
      <w:r w:rsidRPr="003E4F42">
        <w:rPr>
          <w:rtl/>
        </w:rPr>
        <w:t xml:space="preserve"> </w:t>
      </w:r>
      <w:r w:rsidRPr="003E4F42">
        <w:rPr>
          <w:rFonts w:hint="eastAsia"/>
          <w:rtl/>
        </w:rPr>
        <w:t>תושביה</w:t>
      </w:r>
      <w:r w:rsidRPr="003E4F42">
        <w:rPr>
          <w:rtl/>
        </w:rPr>
        <w:t xml:space="preserve"> </w:t>
      </w:r>
      <w:r w:rsidRPr="003E4F42">
        <w:rPr>
          <w:rFonts w:hint="eastAsia"/>
          <w:rtl/>
        </w:rPr>
        <w:t>באמצעות</w:t>
      </w:r>
      <w:r w:rsidRPr="003E4F42">
        <w:rPr>
          <w:rtl/>
        </w:rPr>
        <w:t xml:space="preserve"> </w:t>
      </w:r>
      <w:r w:rsidRPr="003E4F42">
        <w:rPr>
          <w:rFonts w:hint="eastAsia"/>
          <w:rtl/>
        </w:rPr>
        <w:t>נבחריהם</w:t>
      </w:r>
      <w:r w:rsidRPr="003E4F42">
        <w:rPr>
          <w:rtl/>
        </w:rPr>
        <w:t xml:space="preserve"> </w:t>
      </w:r>
      <w:r w:rsidRPr="003E4F42">
        <w:rPr>
          <w:rFonts w:hint="eastAsia"/>
          <w:rtl/>
        </w:rPr>
        <w:t>הישירים</w:t>
      </w:r>
      <w:r w:rsidRPr="003E4F42">
        <w:rPr>
          <w:rtl/>
        </w:rPr>
        <w:t xml:space="preserve"> </w:t>
      </w:r>
      <w:r w:rsidRPr="003E4F42">
        <w:rPr>
          <w:rFonts w:hint="eastAsia"/>
          <w:rtl/>
        </w:rPr>
        <w:t>אשר</w:t>
      </w:r>
      <w:r w:rsidRPr="003E4F42">
        <w:rPr>
          <w:rtl/>
        </w:rPr>
        <w:t xml:space="preserve"> </w:t>
      </w:r>
      <w:r w:rsidRPr="003E4F42">
        <w:rPr>
          <w:rFonts w:hint="eastAsia"/>
          <w:rtl/>
        </w:rPr>
        <w:t>קבעו</w:t>
      </w:r>
      <w:r w:rsidRPr="003E4F42">
        <w:rPr>
          <w:rtl/>
        </w:rPr>
        <w:t xml:space="preserve"> </w:t>
      </w:r>
      <w:r w:rsidRPr="003E4F42">
        <w:rPr>
          <w:rFonts w:hint="eastAsia"/>
          <w:rtl/>
        </w:rPr>
        <w:t>את</w:t>
      </w:r>
      <w:r w:rsidRPr="003E4F42">
        <w:rPr>
          <w:rtl/>
        </w:rPr>
        <w:t xml:space="preserve"> </w:t>
      </w:r>
      <w:r w:rsidRPr="003E4F42">
        <w:rPr>
          <w:rFonts w:hint="eastAsia"/>
          <w:rtl/>
        </w:rPr>
        <w:t>מרכז</w:t>
      </w:r>
      <w:r w:rsidRPr="003E4F42">
        <w:rPr>
          <w:rtl/>
        </w:rPr>
        <w:t xml:space="preserve"> </w:t>
      </w:r>
      <w:r w:rsidRPr="003E4F42">
        <w:rPr>
          <w:rFonts w:hint="eastAsia"/>
          <w:rtl/>
        </w:rPr>
        <w:t>חייהם</w:t>
      </w:r>
      <w:r w:rsidRPr="003E4F42">
        <w:rPr>
          <w:rtl/>
        </w:rPr>
        <w:t xml:space="preserve"> </w:t>
      </w:r>
      <w:r w:rsidRPr="003E4F42">
        <w:rPr>
          <w:rFonts w:hint="eastAsia"/>
          <w:rtl/>
        </w:rPr>
        <w:t>בתחומה</w:t>
      </w:r>
      <w:r w:rsidRPr="003E4F42">
        <w:rPr>
          <w:rtl/>
        </w:rPr>
        <w:t xml:space="preserve"> </w:t>
      </w:r>
      <w:r w:rsidRPr="003E4F42">
        <w:rPr>
          <w:rFonts w:hint="cs"/>
          <w:rtl/>
        </w:rPr>
        <w:t xml:space="preserve">[...] </w:t>
      </w:r>
      <w:r w:rsidRPr="003E4F42">
        <w:rPr>
          <w:rFonts w:hint="eastAsia"/>
          <w:rtl/>
        </w:rPr>
        <w:t>בדרך</w:t>
      </w:r>
      <w:r w:rsidRPr="003E4F42">
        <w:rPr>
          <w:rtl/>
        </w:rPr>
        <w:t xml:space="preserve"> </w:t>
      </w:r>
      <w:r w:rsidRPr="003E4F42">
        <w:rPr>
          <w:rFonts w:hint="eastAsia"/>
          <w:rtl/>
        </w:rPr>
        <w:t>זו</w:t>
      </w:r>
      <w:r w:rsidRPr="003E4F42">
        <w:rPr>
          <w:rtl/>
        </w:rPr>
        <w:t xml:space="preserve">, </w:t>
      </w:r>
      <w:r w:rsidRPr="003E4F42">
        <w:rPr>
          <w:rFonts w:hint="eastAsia"/>
          <w:rtl/>
        </w:rPr>
        <w:t>מובטחת</w:t>
      </w:r>
      <w:r w:rsidRPr="003E4F42">
        <w:rPr>
          <w:rtl/>
        </w:rPr>
        <w:t xml:space="preserve"> </w:t>
      </w:r>
      <w:r w:rsidRPr="003E4F42">
        <w:rPr>
          <w:rFonts w:hint="eastAsia"/>
          <w:rtl/>
        </w:rPr>
        <w:t>זהות</w:t>
      </w:r>
      <w:r w:rsidRPr="003E4F42">
        <w:rPr>
          <w:rtl/>
        </w:rPr>
        <w:t xml:space="preserve"> </w:t>
      </w:r>
      <w:r w:rsidRPr="003E4F42">
        <w:rPr>
          <w:rFonts w:hint="eastAsia"/>
          <w:rtl/>
        </w:rPr>
        <w:t>בין</w:t>
      </w:r>
      <w:r w:rsidRPr="003E4F42">
        <w:rPr>
          <w:rtl/>
        </w:rPr>
        <w:t xml:space="preserve"> </w:t>
      </w:r>
      <w:r w:rsidRPr="003E4F42">
        <w:rPr>
          <w:rFonts w:hint="eastAsia"/>
          <w:rtl/>
        </w:rPr>
        <w:t>האינטרסים</w:t>
      </w:r>
      <w:r w:rsidRPr="003E4F42">
        <w:rPr>
          <w:rtl/>
        </w:rPr>
        <w:t xml:space="preserve"> </w:t>
      </w:r>
      <w:r w:rsidRPr="003E4F42">
        <w:rPr>
          <w:rFonts w:hint="eastAsia"/>
          <w:rtl/>
        </w:rPr>
        <w:t>של</w:t>
      </w:r>
      <w:r w:rsidRPr="003E4F42">
        <w:rPr>
          <w:rtl/>
        </w:rPr>
        <w:t xml:space="preserve"> </w:t>
      </w:r>
      <w:r w:rsidRPr="003E4F42">
        <w:rPr>
          <w:rFonts w:hint="eastAsia"/>
          <w:rtl/>
        </w:rPr>
        <w:t>הנבחר</w:t>
      </w:r>
      <w:r w:rsidRPr="003E4F42">
        <w:rPr>
          <w:rtl/>
        </w:rPr>
        <w:t xml:space="preserve"> </w:t>
      </w:r>
      <w:r w:rsidRPr="003E4F42">
        <w:rPr>
          <w:rFonts w:hint="eastAsia"/>
          <w:rtl/>
        </w:rPr>
        <w:t>לבין</w:t>
      </w:r>
      <w:r w:rsidRPr="003E4F42">
        <w:rPr>
          <w:rtl/>
        </w:rPr>
        <w:t xml:space="preserve"> </w:t>
      </w:r>
      <w:r w:rsidRPr="003E4F42">
        <w:rPr>
          <w:rFonts w:hint="eastAsia"/>
          <w:rtl/>
        </w:rPr>
        <w:t>טובתם</w:t>
      </w:r>
      <w:r w:rsidRPr="003E4F42">
        <w:rPr>
          <w:rtl/>
        </w:rPr>
        <w:t xml:space="preserve"> </w:t>
      </w:r>
      <w:r w:rsidRPr="003E4F42">
        <w:rPr>
          <w:rFonts w:hint="eastAsia"/>
          <w:rtl/>
        </w:rPr>
        <w:t>של</w:t>
      </w:r>
      <w:r w:rsidRPr="003E4F42">
        <w:rPr>
          <w:rtl/>
        </w:rPr>
        <w:t xml:space="preserve"> </w:t>
      </w:r>
      <w:r w:rsidRPr="003E4F42">
        <w:rPr>
          <w:rFonts w:hint="eastAsia"/>
          <w:rtl/>
        </w:rPr>
        <w:t>תושבי</w:t>
      </w:r>
      <w:r w:rsidRPr="003E4F42">
        <w:rPr>
          <w:rtl/>
        </w:rPr>
        <w:t xml:space="preserve"> </w:t>
      </w:r>
      <w:r w:rsidRPr="003E4F42">
        <w:rPr>
          <w:rFonts w:hint="eastAsia"/>
          <w:rtl/>
        </w:rPr>
        <w:t>המקום</w:t>
      </w:r>
      <w:r w:rsidRPr="003E4F42">
        <w:rPr>
          <w:rtl/>
        </w:rPr>
        <w:t xml:space="preserve"> </w:t>
      </w:r>
      <w:r w:rsidRPr="003E4F42">
        <w:rPr>
          <w:rFonts w:hint="eastAsia"/>
          <w:rtl/>
        </w:rPr>
        <w:t>שנתנו</w:t>
      </w:r>
      <w:r w:rsidRPr="003E4F42">
        <w:rPr>
          <w:rtl/>
        </w:rPr>
        <w:t xml:space="preserve"> </w:t>
      </w:r>
      <w:r w:rsidRPr="003E4F42">
        <w:rPr>
          <w:rFonts w:hint="eastAsia"/>
          <w:rtl/>
        </w:rPr>
        <w:t>לו</w:t>
      </w:r>
      <w:r w:rsidRPr="003E4F42">
        <w:rPr>
          <w:rtl/>
        </w:rPr>
        <w:t xml:space="preserve"> </w:t>
      </w:r>
      <w:r w:rsidRPr="003E4F42">
        <w:rPr>
          <w:rFonts w:hint="eastAsia"/>
          <w:rtl/>
        </w:rPr>
        <w:t>את</w:t>
      </w:r>
      <w:r w:rsidRPr="003E4F42">
        <w:rPr>
          <w:rtl/>
        </w:rPr>
        <w:t xml:space="preserve"> </w:t>
      </w:r>
      <w:r w:rsidRPr="003E4F42">
        <w:rPr>
          <w:rFonts w:hint="eastAsia"/>
          <w:rtl/>
        </w:rPr>
        <w:t>קולם</w:t>
      </w:r>
      <w:r w:rsidRPr="003E4F42">
        <w:rPr>
          <w:rtl/>
        </w:rPr>
        <w:t xml:space="preserve"> </w:t>
      </w:r>
      <w:r w:rsidRPr="003E4F42">
        <w:rPr>
          <w:rFonts w:hint="eastAsia"/>
          <w:rtl/>
        </w:rPr>
        <w:t>בבחירות</w:t>
      </w:r>
      <w:r w:rsidRPr="003E4F42">
        <w:rPr>
          <w:rFonts w:hint="cs"/>
          <w:rtl/>
        </w:rPr>
        <w:t xml:space="preserve">" (עע"ם 6525/17 </w:t>
      </w:r>
      <w:r w:rsidRPr="003E4F42">
        <w:rPr>
          <w:rFonts w:ascii="Century" w:hAnsi="Century" w:cs="Miriam" w:hint="cs"/>
          <w:b/>
          <w:spacing w:val="0"/>
          <w:szCs w:val="24"/>
          <w:rtl/>
        </w:rPr>
        <w:t>זנלכל בע"מ נ' המועצה האזורית עמק יזרעאל</w:t>
      </w:r>
      <w:r w:rsidRPr="003E4F42">
        <w:rPr>
          <w:rFonts w:ascii="Century" w:hAnsi="Century" w:hint="cs"/>
          <w:rtl/>
        </w:rPr>
        <w:t>, פסקה 20 (8.11.2018)</w:t>
      </w:r>
      <w:r w:rsidRPr="003E4F42">
        <w:rPr>
          <w:rFonts w:hint="cs"/>
          <w:rtl/>
        </w:rPr>
        <w:t xml:space="preserve">). </w:t>
      </w:r>
    </w:p>
    <w:p w:rsidR="001E6B43" w:rsidRPr="003E4F42" w:rsidRDefault="001E6B43" w:rsidP="001E6B43">
      <w:pPr>
        <w:pStyle w:val="Ruller4"/>
        <w:numPr>
          <w:ilvl w:val="0"/>
          <w:numId w:val="0"/>
        </w:numPr>
        <w:rPr>
          <w:rFonts w:ascii="Century" w:hAnsi="Century"/>
          <w:sz w:val="22"/>
          <w:rtl/>
        </w:rPr>
      </w:pPr>
    </w:p>
    <w:p w:rsidR="001E6B43" w:rsidRPr="003E4F42" w:rsidRDefault="001E6B43" w:rsidP="001E6B43">
      <w:pPr>
        <w:pStyle w:val="Ruller41"/>
        <w:rPr>
          <w:rtl/>
        </w:rPr>
      </w:pPr>
      <w:r w:rsidRPr="003E4F42">
        <w:rPr>
          <w:rtl/>
        </w:rPr>
        <w:tab/>
      </w:r>
      <w:r w:rsidRPr="003E4F42">
        <w:rPr>
          <w:rFonts w:hint="cs"/>
          <w:rtl/>
        </w:rPr>
        <w:t xml:space="preserve">ברי כי התערבות השלטון המרכזי באמצעות החלפת ההנהגה המקומית והצבת הנהגה מטעמו מגלמת פגיעה עמוקה באוטונומיה זו. ואולם, כפי שנקבע פעמים רבות בפסיקתנו, הזכות לבחור ולהיבחר, כמו גם עקרון האוטונומיה של הרשות המקומית, אינם ערכים מוחלטים, ובנסיבות מסוימות הם נסוגים מפני הצורך להבטיח את תפקודה התקין של הרשות (עניין </w:t>
      </w:r>
      <w:r w:rsidRPr="003E4F42">
        <w:rPr>
          <w:rFonts w:ascii="Century" w:hAnsi="Century" w:cs="Miriam" w:hint="cs"/>
          <w:b/>
          <w:spacing w:val="0"/>
          <w:szCs w:val="24"/>
          <w:rtl/>
        </w:rPr>
        <w:t>חביש</w:t>
      </w:r>
      <w:r w:rsidRPr="003E4F42">
        <w:rPr>
          <w:rFonts w:ascii="Century" w:hAnsi="Century" w:hint="cs"/>
          <w:rtl/>
        </w:rPr>
        <w:t xml:space="preserve">, פסקה 61; </w:t>
      </w:r>
      <w:r w:rsidRPr="003E4F42">
        <w:rPr>
          <w:rFonts w:ascii="Century" w:hAnsi="Century" w:hint="eastAsia"/>
          <w:rtl/>
        </w:rPr>
        <w:t>בג</w:t>
      </w:r>
      <w:r w:rsidRPr="003E4F42">
        <w:rPr>
          <w:rtl/>
        </w:rPr>
        <w:t>"</w:t>
      </w:r>
      <w:r w:rsidRPr="003E4F42">
        <w:rPr>
          <w:rFonts w:hint="eastAsia"/>
          <w:rtl/>
        </w:rPr>
        <w:t>ץ</w:t>
      </w:r>
      <w:r w:rsidRPr="003E4F42">
        <w:rPr>
          <w:rtl/>
        </w:rPr>
        <w:t xml:space="preserve"> 6365/08 </w:t>
      </w:r>
      <w:r w:rsidRPr="003E4F42">
        <w:rPr>
          <w:rFonts w:ascii="Century" w:hAnsi="Century" w:cs="Miriam" w:hint="eastAsia"/>
          <w:b/>
          <w:spacing w:val="0"/>
          <w:szCs w:val="24"/>
          <w:rtl/>
        </w:rPr>
        <w:t>בנישתי</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שר</w:t>
      </w:r>
      <w:r w:rsidRPr="003E4F42">
        <w:rPr>
          <w:rFonts w:ascii="Century" w:hAnsi="Century" w:cs="Miriam"/>
          <w:b/>
          <w:spacing w:val="0"/>
          <w:szCs w:val="24"/>
          <w:rtl/>
        </w:rPr>
        <w:t xml:space="preserve"> </w:t>
      </w:r>
      <w:r w:rsidRPr="003E4F42">
        <w:rPr>
          <w:rFonts w:ascii="Century" w:hAnsi="Century" w:cs="Miriam" w:hint="eastAsia"/>
          <w:b/>
          <w:spacing w:val="0"/>
          <w:szCs w:val="24"/>
          <w:rtl/>
        </w:rPr>
        <w:t>הפנים</w:t>
      </w:r>
      <w:r w:rsidRPr="003E4F42">
        <w:rPr>
          <w:rtl/>
        </w:rPr>
        <w:t xml:space="preserve">, </w:t>
      </w:r>
      <w:r w:rsidRPr="003E4F42">
        <w:rPr>
          <w:rFonts w:hint="eastAsia"/>
          <w:rtl/>
        </w:rPr>
        <w:t>פסק</w:t>
      </w:r>
      <w:r w:rsidRPr="003E4F42">
        <w:rPr>
          <w:rFonts w:hint="cs"/>
          <w:rtl/>
        </w:rPr>
        <w:t xml:space="preserve">ה </w:t>
      </w:r>
      <w:r w:rsidRPr="003E4F42">
        <w:rPr>
          <w:rFonts w:hint="eastAsia"/>
          <w:rtl/>
        </w:rPr>
        <w:t>יט</w:t>
      </w:r>
      <w:r w:rsidRPr="003E4F42">
        <w:rPr>
          <w:rtl/>
        </w:rPr>
        <w:t xml:space="preserve"> (25.8.2008)</w:t>
      </w:r>
      <w:r w:rsidRPr="003E4F42">
        <w:rPr>
          <w:rFonts w:hint="cs"/>
          <w:rtl/>
        </w:rPr>
        <w:t xml:space="preserve">; עניין </w:t>
      </w:r>
      <w:r w:rsidRPr="003E4F42">
        <w:rPr>
          <w:rFonts w:ascii="Century" w:hAnsi="Century" w:cs="Miriam" w:hint="cs"/>
          <w:b/>
          <w:spacing w:val="0"/>
          <w:szCs w:val="24"/>
          <w:rtl/>
        </w:rPr>
        <w:t>חאג' יחיא</w:t>
      </w:r>
      <w:r w:rsidRPr="003E4F42">
        <w:rPr>
          <w:rFonts w:ascii="Century" w:hAnsi="Century" w:hint="cs"/>
          <w:rtl/>
        </w:rPr>
        <w:t>, פסקה 10; בג</w:t>
      </w:r>
      <w:r w:rsidRPr="003E4F42">
        <w:rPr>
          <w:rFonts w:hint="cs"/>
          <w:rtl/>
        </w:rPr>
        <w:t xml:space="preserve">"ץ 10282/06 </w:t>
      </w:r>
      <w:r w:rsidRPr="003E4F42">
        <w:rPr>
          <w:rFonts w:ascii="Century" w:hAnsi="Century" w:cs="Miriam" w:hint="cs"/>
          <w:b/>
          <w:spacing w:val="0"/>
          <w:szCs w:val="24"/>
          <w:rtl/>
        </w:rPr>
        <w:t>ג'אברין נ' שר הפנים</w:t>
      </w:r>
      <w:r w:rsidRPr="003E4F42">
        <w:rPr>
          <w:rFonts w:ascii="Century" w:hAnsi="Century" w:hint="cs"/>
          <w:rtl/>
        </w:rPr>
        <w:t xml:space="preserve">, פסקה 10 (24.5.2007); </w:t>
      </w:r>
      <w:r w:rsidRPr="003E4F42">
        <w:rPr>
          <w:rFonts w:ascii="Century" w:hAnsi="Century" w:hint="eastAsia"/>
          <w:rtl/>
        </w:rPr>
        <w:t>בג</w:t>
      </w:r>
      <w:r w:rsidRPr="003E4F42">
        <w:rPr>
          <w:rtl/>
        </w:rPr>
        <w:t>"</w:t>
      </w:r>
      <w:r w:rsidRPr="003E4F42">
        <w:rPr>
          <w:rFonts w:hint="eastAsia"/>
          <w:rtl/>
        </w:rPr>
        <w:t>ץ</w:t>
      </w:r>
      <w:r w:rsidRPr="003E4F42">
        <w:rPr>
          <w:rtl/>
        </w:rPr>
        <w:t xml:space="preserve"> 10769/05 </w:t>
      </w:r>
      <w:r w:rsidRPr="003E4F42">
        <w:rPr>
          <w:rFonts w:ascii="Century" w:hAnsi="Century" w:cs="Miriam" w:hint="eastAsia"/>
          <w:b/>
          <w:spacing w:val="0"/>
          <w:szCs w:val="24"/>
          <w:rtl/>
        </w:rPr>
        <w:t>אלמקייס</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שר</w:t>
      </w:r>
      <w:r w:rsidRPr="003E4F42">
        <w:rPr>
          <w:rFonts w:ascii="Century" w:hAnsi="Century" w:cs="Miriam"/>
          <w:b/>
          <w:spacing w:val="0"/>
          <w:szCs w:val="24"/>
          <w:rtl/>
        </w:rPr>
        <w:t xml:space="preserve"> </w:t>
      </w:r>
      <w:r w:rsidRPr="003E4F42">
        <w:rPr>
          <w:rFonts w:ascii="Century" w:hAnsi="Century" w:cs="Miriam" w:hint="eastAsia"/>
          <w:b/>
          <w:spacing w:val="0"/>
          <w:szCs w:val="24"/>
          <w:rtl/>
        </w:rPr>
        <w:t>הפנים</w:t>
      </w:r>
      <w:r w:rsidRPr="003E4F42">
        <w:rPr>
          <w:rtl/>
        </w:rPr>
        <w:t xml:space="preserve">, </w:t>
      </w:r>
      <w:r w:rsidRPr="003E4F42">
        <w:rPr>
          <w:rFonts w:hint="eastAsia"/>
          <w:rtl/>
        </w:rPr>
        <w:t>פסקה</w:t>
      </w:r>
      <w:r w:rsidRPr="003E4F42">
        <w:rPr>
          <w:rtl/>
        </w:rPr>
        <w:t xml:space="preserve"> </w:t>
      </w:r>
      <w:r w:rsidRPr="003E4F42">
        <w:rPr>
          <w:rFonts w:hint="cs"/>
          <w:rtl/>
        </w:rPr>
        <w:t>10</w:t>
      </w:r>
      <w:r w:rsidRPr="003E4F42">
        <w:rPr>
          <w:rtl/>
        </w:rPr>
        <w:t xml:space="preserve"> (20.2.2006)</w:t>
      </w:r>
      <w:r w:rsidRPr="003E4F42">
        <w:rPr>
          <w:rFonts w:hint="cs"/>
          <w:rtl/>
        </w:rPr>
        <w:t xml:space="preserve">). לצד זאת, ונוכח הפגיעה הדרמטית שכרוכה בהפעלת הסמכות, נקבע לא אחת כי פרשנות הסמכות תהא "דווקנית, צרה ומצמצמת" (עניין </w:t>
      </w:r>
      <w:r w:rsidRPr="003E4F42">
        <w:rPr>
          <w:rFonts w:ascii="Century" w:hAnsi="Century" w:cs="Miriam" w:hint="cs"/>
          <w:b/>
          <w:spacing w:val="0"/>
          <w:szCs w:val="24"/>
          <w:rtl/>
        </w:rPr>
        <w:t>חביש</w:t>
      </w:r>
      <w:r w:rsidRPr="003E4F42">
        <w:rPr>
          <w:rFonts w:ascii="Century" w:hAnsi="Century" w:hint="cs"/>
          <w:rtl/>
        </w:rPr>
        <w:t>, פסקה 64; עניין</w:t>
      </w:r>
      <w:r w:rsidRPr="003E4F42">
        <w:rPr>
          <w:rFonts w:hint="cs"/>
          <w:rtl/>
        </w:rPr>
        <w:t xml:space="preserve"> </w:t>
      </w:r>
      <w:r w:rsidRPr="003E4F42">
        <w:rPr>
          <w:rFonts w:ascii="Century" w:hAnsi="Century" w:cs="Miriam" w:hint="cs"/>
          <w:b/>
          <w:spacing w:val="0"/>
          <w:szCs w:val="24"/>
          <w:rtl/>
        </w:rPr>
        <w:t>חאג' יחיא</w:t>
      </w:r>
      <w:r w:rsidRPr="003E4F42">
        <w:rPr>
          <w:rFonts w:ascii="Century" w:hAnsi="Century" w:hint="cs"/>
          <w:rtl/>
        </w:rPr>
        <w:t>, פסקה 11</w:t>
      </w:r>
      <w:r w:rsidRPr="003E4F42">
        <w:rPr>
          <w:rFonts w:hint="cs"/>
          <w:rtl/>
        </w:rPr>
        <w:t xml:space="preserve">). </w:t>
      </w:r>
    </w:p>
    <w:p w:rsidR="001E6B43" w:rsidRPr="003E4F42" w:rsidRDefault="001E6B43" w:rsidP="001E6B43">
      <w:pPr>
        <w:pStyle w:val="Ruller41"/>
        <w:rPr>
          <w:rtl/>
        </w:rPr>
      </w:pPr>
    </w:p>
    <w:p w:rsidR="001E6B43" w:rsidRPr="003E4F42" w:rsidRDefault="001E6B43" w:rsidP="001E6B43">
      <w:pPr>
        <w:pStyle w:val="Ruller4"/>
        <w:rPr>
          <w:rtl/>
        </w:rPr>
      </w:pPr>
      <w:r w:rsidRPr="003E4F42">
        <w:rPr>
          <w:rFonts w:hint="cs"/>
          <w:rtl/>
        </w:rPr>
        <w:t xml:space="preserve">הניסיון להשיב את הרשות המקומית ל"דרך המלך" נעשה כאמור באמצעות מינויה של ועדה </w:t>
      </w:r>
      <w:r w:rsidRPr="003E4F42">
        <w:rPr>
          <w:rtl/>
        </w:rPr>
        <w:t>–</w:t>
      </w:r>
      <w:r w:rsidRPr="003E4F42">
        <w:rPr>
          <w:rFonts w:ascii="Century" w:hAnsi="Century" w:hint="cs"/>
          <w:rtl/>
        </w:rPr>
        <w:t xml:space="preserve"> מקצועית</w:t>
      </w:r>
      <w:r w:rsidRPr="003E4F42">
        <w:rPr>
          <w:rFonts w:hint="cs"/>
          <w:rtl/>
        </w:rPr>
        <w:t xml:space="preserve"> ונטולת פניות </w:t>
      </w:r>
      <w:r w:rsidRPr="003E4F42">
        <w:rPr>
          <w:rtl/>
        </w:rPr>
        <w:t>–</w:t>
      </w:r>
      <w:r w:rsidRPr="003E4F42">
        <w:rPr>
          <w:rFonts w:hint="cs"/>
          <w:rtl/>
        </w:rPr>
        <w:t xml:space="preserve"> שביכולתה לנקוט גם בצעדים לא פופולריים כדי להביא להבראת הרשות (בג"ץ 7426/07 </w:t>
      </w:r>
      <w:r w:rsidRPr="003E4F42">
        <w:rPr>
          <w:rFonts w:ascii="Century" w:hAnsi="Century" w:cs="Miriam" w:hint="cs"/>
          <w:b/>
          <w:spacing w:val="0"/>
          <w:szCs w:val="24"/>
          <w:rtl/>
        </w:rPr>
        <w:t>סלאמה נ' שר הפנים</w:t>
      </w:r>
      <w:r w:rsidRPr="003E4F42">
        <w:rPr>
          <w:rFonts w:ascii="Century" w:hAnsi="Century" w:hint="cs"/>
          <w:rtl/>
        </w:rPr>
        <w:t>, פסקה 8 (19.1.2009)</w:t>
      </w:r>
      <w:r w:rsidRPr="003E4F42">
        <w:rPr>
          <w:rFonts w:hint="cs"/>
          <w:rtl/>
        </w:rPr>
        <w:t xml:space="preserve">; בארי וקואל, בעמ' 54; כן ראו והשוו: עניין </w:t>
      </w:r>
      <w:r w:rsidRPr="003E4F42">
        <w:rPr>
          <w:rFonts w:ascii="Century" w:hAnsi="Century" w:cs="Miriam" w:hint="cs"/>
          <w:b/>
          <w:spacing w:val="0"/>
          <w:szCs w:val="24"/>
          <w:rtl/>
        </w:rPr>
        <w:t>אבו עראר</w:t>
      </w:r>
      <w:r w:rsidRPr="003E4F42">
        <w:rPr>
          <w:rFonts w:ascii="Century" w:hAnsi="Century" w:hint="cs"/>
          <w:rtl/>
        </w:rPr>
        <w:t>, בעמ' 40-39</w:t>
      </w:r>
      <w:r w:rsidRPr="003E4F42">
        <w:rPr>
          <w:rFonts w:hint="cs"/>
          <w:rtl/>
        </w:rPr>
        <w:t xml:space="preserve">). ניתוקן של הוועדות הממונות מהזירה הפוליטית המקומית, כפי שנעשה בין היתר בתיקון מס' 39, מבקש לשמר את אופיין המקצועי והענייני; לקדם את אמון האוכלוסייה המקומית בהן (ראו אצל בארי וקואל, בעמ' 59; אשר לחשיבותו של אמון זה בהצלחת הוועדות הממונות </w:t>
      </w:r>
      <w:r w:rsidRPr="003E4F42">
        <w:rPr>
          <w:rFonts w:hint="cs"/>
          <w:rtl/>
        </w:rPr>
        <w:lastRenderedPageBreak/>
        <w:t xml:space="preserve">ראו דו"ח מבקר המדינה, בעמ' </w:t>
      </w:r>
      <w:r w:rsidRPr="003E4F42">
        <w:rPr>
          <w:rFonts w:ascii="Century" w:hAnsi="Century" w:hint="cs"/>
          <w:rtl/>
        </w:rPr>
        <w:t>74</w:t>
      </w:r>
      <w:r w:rsidRPr="003E4F42">
        <w:rPr>
          <w:rFonts w:hint="cs"/>
          <w:rtl/>
        </w:rPr>
        <w:t xml:space="preserve">; כן ראו והשוו: בג"ץ 6859/98 </w:t>
      </w:r>
      <w:r w:rsidRPr="003E4F42">
        <w:rPr>
          <w:rFonts w:ascii="Century" w:hAnsi="Century" w:cs="Miriam" w:hint="cs"/>
          <w:b/>
          <w:spacing w:val="0"/>
          <w:szCs w:val="24"/>
          <w:rtl/>
        </w:rPr>
        <w:t>אנקונינה נ' פקיד הבחירות אור עקיבא</w:t>
      </w:r>
      <w:r w:rsidRPr="003E4F42">
        <w:rPr>
          <w:rFonts w:ascii="Century" w:hAnsi="Century" w:hint="cs"/>
          <w:rtl/>
        </w:rPr>
        <w:t>, פ"ד נב(5) 433, 446 (</w:t>
      </w:r>
      <w:r w:rsidRPr="003E4F42">
        <w:rPr>
          <w:rFonts w:hint="cs"/>
          <w:rtl/>
        </w:rPr>
        <w:t>1998)); ולהקל עליהן ברתימת גורמים מקומיים לשיתוף פעולה בהליכי השיקום (או ההקמה). נוכח ניתוק הוועדה הממונה מן הזירה הפוליטית המקומית, ונוכח זהותה הא-פוליטית גורמים פוליטיים מקומיים לא חוששים משיתוף פעולה עמה. עמדו על הדברים גם בארי וקואל במאמרם שהובא לעיל:</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"החלפת נבחרים בממונים מקצועיים, הנעדרים שאיפות פוליטיות מקומיות, מזמנת ניהול רציונלי המעדיף את טובת הציבור וטובת הרשות המקומית כארגון על פני טובתם האישית-פוליטית של נבחריה. ועדה ממונה עשויה להוביל להנחלת תרבות ארגונית פרודוקטיבית, קבלת החלטות אמיצה ועשייה רדיקלית הדרושה לעתים בתהליך הבראה. כגוף ניהולי הזוכה לתמיכה ממשרד הפנים ואינו תלוי בתמיכת הציבור הוועדה הממונה אינה מחויבת למסורות, מדיניות קודמת או בעלי תפקידים מכהנים" (שם, בעמ' 54).</w:t>
      </w:r>
    </w:p>
    <w:p w:rsidR="001E6B43" w:rsidRPr="003E4F42" w:rsidRDefault="001E6B43" w:rsidP="001E6B43">
      <w:pPr>
        <w:pStyle w:val="Ruller41"/>
        <w:rPr>
          <w:rtl/>
        </w:rPr>
      </w:pPr>
      <w:r w:rsidRPr="003E4F42">
        <w:rPr>
          <w:rFonts w:hint="cs"/>
          <w:rtl/>
        </w:rPr>
        <w:t xml:space="preserve"> </w:t>
      </w:r>
    </w:p>
    <w:p w:rsidR="001E6B43" w:rsidRPr="003E4F42" w:rsidRDefault="001E6B43" w:rsidP="001E6B43">
      <w:pPr>
        <w:pStyle w:val="Ruller4"/>
        <w:numPr>
          <w:ilvl w:val="0"/>
          <w:numId w:val="0"/>
        </w:numPr>
      </w:pPr>
      <w:r w:rsidRPr="003E4F42">
        <w:rPr>
          <w:rtl/>
        </w:rPr>
        <w:tab/>
      </w:r>
      <w:r w:rsidRPr="003E4F42">
        <w:rPr>
          <w:rFonts w:hint="cs"/>
          <w:rtl/>
        </w:rPr>
        <w:t xml:space="preserve">תיקון מס' 53 משנה אפוא את מערך האיזונים שניצב בתשתית מוסד הוועדות הממונות. מתן האפשרות לחברי וליושבי ראש הוועדות הממונות להיבחר בבחירות המקומיות מכרסם ברציונל המקצועי והא-פוליטי שניצב ערב התיקון בבסיס מוסד הוועדה הממונה, עשוי להשפיע על אמון הציבור בטוהר שיקוליה, ולפיכך גם באפשרותה לממש את תכליתה.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במישור אחר, לא פחות חשוב מהשינוי במוסד הוועדה הממונה ובאיזוניו הפנימיים, מגלם תיקון מס' 53 פגיעה בשוויון בין המועמדים בבחירות המקומיות. השוויון בין המועמדים בבחירות הוכר, ביחס לבחירות הארציות, כחלק מן הזכות להיבחר. כך, נפסק כי השוויון "חייב להתבטא גם בשוויון הסיכויים של רשימות המועמדים השונות המתחרות בבחירות לכנסת" (בג"ץ 98/69 </w:t>
      </w:r>
      <w:r w:rsidRPr="003E4F42">
        <w:rPr>
          <w:rFonts w:ascii="Century" w:hAnsi="Century" w:cs="Miriam" w:hint="cs"/>
          <w:b/>
          <w:spacing w:val="0"/>
          <w:sz w:val="22"/>
          <w:szCs w:val="24"/>
          <w:rtl/>
        </w:rPr>
        <w:t>ברגמן נ' שר האוצר</w:t>
      </w:r>
      <w:r w:rsidRPr="003E4F42">
        <w:rPr>
          <w:rFonts w:ascii="Century" w:hAnsi="Century" w:hint="cs"/>
          <w:sz w:val="22"/>
          <w:rtl/>
        </w:rPr>
        <w:t>, פ"ד כג(1) 693, 698 (1969)</w:t>
      </w:r>
      <w:r w:rsidRPr="003E4F42">
        <w:rPr>
          <w:rFonts w:hint="cs"/>
          <w:rtl/>
        </w:rPr>
        <w:t xml:space="preserve">). הפגיעה בשוויון בין המועמדים בענייננו באה לידי ביטוי בשניים: ראשית, היתרונות שזוכה לו הוועדה הממונה לעומת מועצה מקומית נבחרת; ושנית, היתרון המובנה של מי שמגיע לבחירות מעמדת ראש הרשות. אעמוד על שני היבטים אלה בקצרה להלן (כן ראו עניין </w:t>
      </w:r>
      <w:r w:rsidRPr="003E4F42">
        <w:rPr>
          <w:rFonts w:ascii="Century" w:hAnsi="Century" w:cs="Miriam" w:hint="cs"/>
          <w:b/>
          <w:spacing w:val="0"/>
          <w:sz w:val="22"/>
          <w:szCs w:val="24"/>
          <w:rtl/>
        </w:rPr>
        <w:t>קריספל</w:t>
      </w:r>
      <w:r w:rsidRPr="003E4F42">
        <w:rPr>
          <w:rFonts w:ascii="Century" w:hAnsi="Century" w:hint="cs"/>
          <w:sz w:val="22"/>
          <w:rtl/>
        </w:rPr>
        <w:t>, בעמ' 311-310</w:t>
      </w:r>
      <w:r w:rsidRPr="003E4F42">
        <w:rPr>
          <w:rFonts w:hint="cs"/>
          <w:rtl/>
        </w:rPr>
        <w:t xml:space="preserve">). </w:t>
      </w:r>
    </w:p>
    <w:p w:rsidR="001E6B43" w:rsidRPr="003E4F42" w:rsidRDefault="001E6B43" w:rsidP="001E6B43">
      <w:pPr>
        <w:pStyle w:val="Ruller41"/>
        <w:rPr>
          <w:rtl/>
        </w:rPr>
      </w:pPr>
    </w:p>
    <w:p w:rsidR="001E6B43" w:rsidRPr="003E4F42" w:rsidRDefault="001E6B43" w:rsidP="001E6B43">
      <w:pPr>
        <w:pStyle w:val="Ruller4"/>
        <w:rPr>
          <w:rtl/>
        </w:rPr>
      </w:pPr>
      <w:r w:rsidRPr="003E4F42">
        <w:rPr>
          <w:rFonts w:hint="cs"/>
          <w:rtl/>
        </w:rPr>
        <w:t xml:space="preserve">הוועדה הממונה שונה ממועצה נבחרת של רשות מקומית בכך שהיא נהנית מיתרונות לא מבוטלים בניהול ענייניה של הרשות המקומית. בין יתרונות אלה ניתן להצביע על ניהול ענייני הרשות במנותק מאילוצים פוליטיים ומאופוזיציה נבחרת. עוד נהנית הוועדה הממונה מסיוע שוטף של משרד הפנים, שיכול לבוא לידי ביטוי בליווי </w:t>
      </w:r>
      <w:r w:rsidRPr="003E4F42">
        <w:rPr>
          <w:rFonts w:hint="cs"/>
          <w:rtl/>
        </w:rPr>
        <w:lastRenderedPageBreak/>
        <w:t xml:space="preserve">כספי, בתוספות תקציביות ובסיוע וקידום של הליכי התמקצעות וצעדים ארגוניים (דו"ח הממ"מ, בעמ' 9-8; פרוטוקול ישיבה מס' 94 של ועדת הפנים והגנת הסביבה, הכנסת ה-25, 21 (29.6.2023) (להלן: </w:t>
      </w:r>
      <w:r w:rsidRPr="003E4F42">
        <w:rPr>
          <w:rFonts w:ascii="Century" w:hAnsi="Century" w:cs="Miriam" w:hint="cs"/>
          <w:b/>
          <w:spacing w:val="0"/>
          <w:sz w:val="22"/>
          <w:szCs w:val="24"/>
          <w:rtl/>
        </w:rPr>
        <w:t>פרוטוקול הישיבה מיום 29.6.2023</w:t>
      </w:r>
      <w:r w:rsidRPr="003E4F42">
        <w:rPr>
          <w:rFonts w:hint="cs"/>
          <w:rtl/>
        </w:rPr>
        <w:t xml:space="preserve">)). לצד יתרונות אלה ניתן להצביע גם על יתרונות בלתי רשמיים שבאים לידי ביטוי בחיי המעשה ובהם "אוזן קשבת והקלות בסבך הביורוקרטיה של משרדי הממשלה" (בארי וקואל, בעמ' 54). בדרכים אלו, יכולה להגיע הוועדה הממונה (ובפרט כאמור העומד בראשה) לבחירות המקומיות כשבאמתחתה הישגים שנובעים מהחלטות ומפעולות של השלטון המרכזי (וזאת, כאמור, בשונה מחברי וראשי מועצה מקומית "רגילים" שמתמודדים בבחירות ולא זוכים ליתרונות אלה).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היעדר השוויון בין המועמדים נובע גם מהיתרון של יושב ראש הוועדה הממונה מעצם ההגעה לבחירות מעמדת ההנהגה של הרשות המקומית (בהקבלה לראש העירייה או ראש מועצה מכהן; ראו והשוו לעניין </w:t>
      </w:r>
      <w:r w:rsidRPr="003E4F42">
        <w:rPr>
          <w:rFonts w:ascii="Century" w:hAnsi="Century" w:cs="Miriam" w:hint="cs"/>
          <w:b/>
          <w:spacing w:val="0"/>
          <w:sz w:val="22"/>
          <w:szCs w:val="24"/>
          <w:rtl/>
        </w:rPr>
        <w:t>אסרף</w:t>
      </w:r>
      <w:r w:rsidRPr="003E4F42">
        <w:rPr>
          <w:rFonts w:ascii="Century" w:hAnsi="Century" w:hint="cs"/>
          <w:sz w:val="22"/>
          <w:rtl/>
        </w:rPr>
        <w:t>, פסקה 15</w:t>
      </w:r>
      <w:r w:rsidRPr="003E4F42">
        <w:rPr>
          <w:rFonts w:hint="cs"/>
          <w:rtl/>
        </w:rPr>
        <w:t xml:space="preserve">). בהקשר זה טען לפנינו בא כוח הכנסת כי אין לראות בכך פגיעה בשוויון: הן מאחר שאין שוני בין יושב ראש ועדה ממונה לבין ראש רשות מקומית "רגיל" שמגיע לבחירות מעמדת השלטון; הן מאחר "שלכל אדם יש תכונות המייחדות אותו על פני אנשים אחרים"; והן מאחר שקיימים "פקידים" רבים אחרים שיש להם ממשק עם הרשות המקומית והחוק מאפשר להם להתמודד בבחירות לרשויות המקומיות (ככל שיפרשו זמן מספק לפני הבחירות בהתאם הוראות חוק ההגבלה; סעיפים 134-133 לתשובת הכנסת). בעיניי, טענות אלו מוקשות במספר רבדים.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ascii="Century" w:hAnsi="Century" w:cs="Miriam" w:hint="cs"/>
          <w:b/>
          <w:spacing w:val="0"/>
          <w:sz w:val="22"/>
          <w:szCs w:val="24"/>
          <w:rtl/>
        </w:rPr>
        <w:t>ראשית</w:t>
      </w:r>
      <w:r w:rsidRPr="003E4F42">
        <w:rPr>
          <w:rFonts w:hint="cs"/>
          <w:rtl/>
        </w:rPr>
        <w:t xml:space="preserve">, הקבלתו של ראש הרשות כמועמד בבחירות לגורמי מקצוע כאלה ואחרים (בשלטון המרכזי או בשלטון המקומי), מתעלמת מכך שראש הרשות הוא הגורם בעל החשיפה והזיקה גבוהות ביותר לתושבי הרשות המקומית כולם: הוא נהנה ממעמד ומהיכרות עם ציבור בוחריו, הוא בעל נגישות למשאבי הרשות, ובאפשרותו להתוות את פעילותה. ברי כי לנתונים אלה השפעה על סיכוייו של מועמד להיבחר לתפקיד ראש הרשות (וראו את הנתון שלפיו סיכוייו של המכהן להיבחר מחדש עומד על כ-70% אצל אמיר הורקין "יורשי המכהנים בבחירות המקומיות בעידן הבחירה הישירה 2009-1978" </w:t>
      </w:r>
      <w:r w:rsidRPr="003E4F42">
        <w:rPr>
          <w:rFonts w:ascii="Century" w:hAnsi="Century" w:cs="Miriam" w:hint="cs"/>
          <w:b/>
          <w:spacing w:val="0"/>
          <w:sz w:val="22"/>
          <w:szCs w:val="24"/>
          <w:rtl/>
        </w:rPr>
        <w:t xml:space="preserve">דמוקרטיה מקומית בישראל: ביזור, מקומיות, השתתפות ופוליטיקה מקומית </w:t>
      </w:r>
      <w:r w:rsidRPr="003E4F42">
        <w:rPr>
          <w:rFonts w:ascii="Century" w:hAnsi="Century" w:hint="cs"/>
          <w:sz w:val="22"/>
          <w:rtl/>
        </w:rPr>
        <w:t>225</w:t>
      </w:r>
      <w:r w:rsidRPr="003E4F42">
        <w:rPr>
          <w:rFonts w:ascii="Century" w:hAnsi="Century" w:cs="Miriam" w:hint="cs"/>
          <w:b/>
          <w:spacing w:val="0"/>
          <w:sz w:val="22"/>
          <w:szCs w:val="24"/>
          <w:rtl/>
        </w:rPr>
        <w:t xml:space="preserve"> </w:t>
      </w:r>
      <w:r w:rsidRPr="003E4F42">
        <w:rPr>
          <w:rFonts w:ascii="Century" w:hAnsi="Century" w:hint="cs"/>
          <w:sz w:val="22"/>
          <w:rtl/>
        </w:rPr>
        <w:t>(איתי בארי וערן רזין עורכים, 2015)</w:t>
      </w:r>
      <w:r w:rsidRPr="003E4F42">
        <w:rPr>
          <w:rFonts w:hint="cs"/>
          <w:rtl/>
        </w:rPr>
        <w:t xml:space="preserve">; כן ראו עניין </w:t>
      </w:r>
      <w:r w:rsidRPr="003E4F42">
        <w:rPr>
          <w:rFonts w:ascii="Century" w:hAnsi="Century" w:cs="Miriam" w:hint="cs"/>
          <w:b/>
          <w:spacing w:val="0"/>
          <w:sz w:val="22"/>
          <w:szCs w:val="24"/>
          <w:rtl/>
        </w:rPr>
        <w:t>אסרף</w:t>
      </w:r>
      <w:r w:rsidRPr="003E4F42">
        <w:rPr>
          <w:rFonts w:ascii="Century" w:hAnsi="Century" w:hint="cs"/>
          <w:sz w:val="22"/>
          <w:rtl/>
        </w:rPr>
        <w:t>, פסקה 15</w:t>
      </w:r>
      <w:r w:rsidRPr="003E4F42">
        <w:rPr>
          <w:rFonts w:hint="cs"/>
          <w:rtl/>
        </w:rPr>
        <w:t xml:space="preserve">; וראו גם את האמור בסעיף 136 לתשובת הכנסת). </w:t>
      </w:r>
    </w:p>
    <w:p w:rsidR="001E6B43" w:rsidRPr="003E4F42" w:rsidRDefault="001E6B43" w:rsidP="001E6B43">
      <w:pPr>
        <w:pStyle w:val="Ruller4"/>
        <w:numPr>
          <w:ilvl w:val="0"/>
          <w:numId w:val="0"/>
        </w:numPr>
        <w:rPr>
          <w:rtl/>
        </w:rPr>
      </w:pPr>
    </w:p>
    <w:p w:rsidR="001E6B43" w:rsidRPr="003E4F42" w:rsidRDefault="001E6B43" w:rsidP="00E848FF">
      <w:pPr>
        <w:pStyle w:val="Ruller4"/>
        <w:numPr>
          <w:ilvl w:val="0"/>
          <w:numId w:val="0"/>
        </w:numPr>
        <w:rPr>
          <w:rtl/>
        </w:rPr>
      </w:pPr>
      <w:r w:rsidRPr="003E4F42">
        <w:rPr>
          <w:rtl/>
        </w:rPr>
        <w:tab/>
      </w:r>
      <w:r w:rsidRPr="003E4F42">
        <w:rPr>
          <w:rFonts w:ascii="Century" w:hAnsi="Century" w:cs="Miriam" w:hint="cs"/>
          <w:b/>
          <w:spacing w:val="0"/>
          <w:sz w:val="22"/>
          <w:szCs w:val="24"/>
          <w:rtl/>
        </w:rPr>
        <w:t>שנית</w:t>
      </w:r>
      <w:r w:rsidRPr="003E4F42">
        <w:rPr>
          <w:rFonts w:hint="cs"/>
          <w:rtl/>
        </w:rPr>
        <w:t xml:space="preserve">, הטענה כי יושב ראש ועדה ממונה מחזיק ב"תכונה", שאינה שונה מתכונות אחרות שבהן מחזיקים מועמדים, לא נותנת משקל כלשהו לכך שיושב ראש </w:t>
      </w:r>
      <w:r w:rsidRPr="003E4F42">
        <w:rPr>
          <w:rFonts w:hint="cs"/>
          <w:rtl/>
        </w:rPr>
        <w:lastRenderedPageBreak/>
        <w:t>הוועדה הממונה לא נבחר לתפקידו זה על ידי תושבי הרשות המקומית, אלא "הוצנח" מטעמו של השלטון המרכזי. "הצנחה" זו, כפי שכבר נפסק, מבטאת מלכתחילה פגיעה בבחירתם הדמוקרטית של תושבי רשות המקומית ובאוטונומיה של השלטון המקומי. במצב דברים זה, ה"תכונה" שמקנה לאותו מועמד יתרון בבחירות נובעת במישרין מהתערבות של השלטון המרכזי, ולכן אין לראות בה תכונה ככל תכונה אחרת שעמה מגיע מועמד לבחירות.</w:t>
      </w:r>
    </w:p>
    <w:p w:rsidR="001E6B43" w:rsidRPr="003E4F42" w:rsidRDefault="001E6B43" w:rsidP="001E6B43">
      <w:pPr>
        <w:pStyle w:val="Ruller41"/>
        <w:rPr>
          <w:rtl/>
        </w:rPr>
      </w:pPr>
    </w:p>
    <w:p w:rsidR="001E6B43" w:rsidRPr="003E4F42" w:rsidRDefault="001E6B43" w:rsidP="001E6B43">
      <w:pPr>
        <w:pStyle w:val="Ruller41"/>
        <w:rPr>
          <w:rFonts w:ascii="Century" w:hAnsi="Century"/>
        </w:rPr>
      </w:pPr>
      <w:r w:rsidRPr="003E4F42">
        <w:rPr>
          <w:rtl/>
        </w:rPr>
        <w:tab/>
      </w:r>
      <w:r w:rsidRPr="003E4F42">
        <w:rPr>
          <w:rFonts w:ascii="Century" w:hAnsi="Century" w:cs="Miriam" w:hint="cs"/>
          <w:b/>
          <w:spacing w:val="0"/>
          <w:szCs w:val="24"/>
          <w:rtl/>
        </w:rPr>
        <w:t xml:space="preserve">שלישית, </w:t>
      </w:r>
      <w:r w:rsidRPr="003E4F42">
        <w:rPr>
          <w:rFonts w:ascii="Century" w:hAnsi="Century" w:hint="cs"/>
          <w:rtl/>
        </w:rPr>
        <w:t xml:space="preserve">כפי שציינתי לעיל, ראש הוועדה הממונה אינו זהה למקביליו הנבחרים ברשויות אחרות מאחר שבתקופת כהונתו הוא נהנה מיתרונות שלא מוקנים לראשי רשויות נבחרים. כפי שציינתי לעיל, יתרונות אלו נובעים במישרין מפעולות ומתמיכת השלטון המרכזי. </w:t>
      </w:r>
    </w:p>
    <w:p w:rsidR="001E6B43" w:rsidRPr="003E4F42" w:rsidRDefault="001E6B43" w:rsidP="001E6B43">
      <w:pPr>
        <w:pStyle w:val="Ruller4"/>
        <w:numPr>
          <w:ilvl w:val="0"/>
          <w:numId w:val="0"/>
        </w:numPr>
        <w:rPr>
          <w:rtl/>
        </w:rPr>
      </w:pPr>
    </w:p>
    <w:p w:rsidR="001E6B43" w:rsidRPr="003E4F42" w:rsidRDefault="001E6B43" w:rsidP="001E6B43">
      <w:pPr>
        <w:pStyle w:val="Ruller4"/>
      </w:pPr>
      <w:r w:rsidRPr="003E4F42">
        <w:rPr>
          <w:rFonts w:hint="cs"/>
          <w:rtl/>
        </w:rPr>
        <w:t xml:space="preserve">הקשיים שהובאו לעיל, ובראשם הפגיעה בשוויון בין המתמודדים מועצמים פי כמה בשים לב לשני נתונים יסודיים: ראשית, כי תיקון מס' 53 נחקק לאחר שהחלה תקופת הבחירות לרשויות המקומיות (קושי שתואר על ידי הצדדים לפנינו, כאמור, כ"שינוי כללי המשחק תוך כדי המשחק"); ושנית, כי החלתו של התיקון במערכת הבחירות הנוכחית מגלמת שינוי בכללי הבחירות שיועד עבור שחקן ספציפי. על שני קשיים אלה אעמוד בהרחבה במסגרת פרשנותו של תיקון מס' 53; אך יש לעמוד כבר עתה בתמצית על טיבם. </w:t>
      </w:r>
    </w:p>
    <w:p w:rsidR="001E6B43" w:rsidRPr="003E4F42" w:rsidRDefault="001E6B43" w:rsidP="001E6B43">
      <w:pPr>
        <w:pStyle w:val="Ruller4"/>
        <w:numPr>
          <w:ilvl w:val="0"/>
          <w:numId w:val="0"/>
        </w:numPr>
        <w:rPr>
          <w:rtl/>
        </w:rPr>
      </w:pPr>
    </w:p>
    <w:p w:rsidR="001E6B43" w:rsidRPr="003E4F42" w:rsidRDefault="001E6B43" w:rsidP="001E6B43">
      <w:pPr>
        <w:pStyle w:val="Ruller4"/>
      </w:pPr>
      <w:r w:rsidRPr="003E4F42">
        <w:rPr>
          <w:rtl/>
        </w:rPr>
        <w:tab/>
      </w:r>
      <w:r w:rsidRPr="003E4F42">
        <w:rPr>
          <w:rFonts w:hint="cs"/>
          <w:rtl/>
        </w:rPr>
        <w:t xml:space="preserve">במה דברים אמורים? הבחירות לרשויות המקומיות עתידות להתקיים ביום 31.10.2023, ובהתאם להלכת בית משפט זה (עניין </w:t>
      </w:r>
      <w:r w:rsidRPr="003E4F42">
        <w:rPr>
          <w:rFonts w:ascii="Century" w:hAnsi="Century" w:cs="Miriam" w:hint="cs"/>
          <w:b/>
          <w:spacing w:val="0"/>
          <w:sz w:val="22"/>
          <w:szCs w:val="24"/>
          <w:rtl/>
        </w:rPr>
        <w:t>לוינטל</w:t>
      </w:r>
      <w:r w:rsidRPr="003E4F42">
        <w:rPr>
          <w:rFonts w:hint="cs"/>
          <w:rtl/>
        </w:rPr>
        <w:t xml:space="preserve">) "היום הקובע" לתחילת תקופת הבחירות היה 4.6.2023 (כעולה מנתוני משרד הפנים). תיקון מס' 53 עבר בקריאה שניה ושלישית כחודש לאחר מועד זה (ביום 5.7.2023) </w:t>
      </w:r>
      <w:r w:rsidRPr="003E4F42">
        <w:rPr>
          <w:rtl/>
        </w:rPr>
        <w:t>–</w:t>
      </w:r>
      <w:r w:rsidRPr="003E4F42">
        <w:rPr>
          <w:rFonts w:hint="cs"/>
          <w:rtl/>
        </w:rPr>
        <w:t xml:space="preserve"> היינו לאחר שנורתה יריית הפתיחה לבחירות ברשויות המקומיות. אשר לרובד הפרסונלי של התיקון, כעולה מנתוני משרד הפנים, בעת הזו מכהנות 7 ועדות ממונות: בצור הדסה מכהנת מועצה ראשונה (5 חברי מועצה, ומהם ראש מועצה); במסעדה מכהנת ועדה למילוי תפקידי ראש המועצה והמועצה (4 חברי ועדה ומהם ראש הוועדה); באבו גוש מכהנת ועדה למילוי תפקידי המועצה בלבד (3 חברי ועדה); בטבריה מכהנת ועדה למילוי תפקידי המועצה וראש העירייה (8 חברי ועדה ומהם ראש ועדה); בירכא מכהנת ועדה למילוי תפקידי המועצה בלבד (5 חברי ועדה). שתי ועדות ממונות נוספות מצויות באזור יהודה ושומרון, ותיקון מס' 53 אינו חל עליהן באופן ישיר (על מנת שיחול, נדרשת החלתו באמצעות תחיקת הביטחון). מכאן שהבחירות הקרובות לרשויות המקומיות רלוונטיות לחבריהן של ארבע ועדות ממונות בלבד (טבריה, מסעדה, ירכא ואבו גוש) ולשני יושבי ראש ועדות ממונות </w:t>
      </w:r>
      <w:r w:rsidRPr="003E4F42">
        <w:rPr>
          <w:rFonts w:hint="cs"/>
          <w:rtl/>
        </w:rPr>
        <w:lastRenderedPageBreak/>
        <w:t>בלבד (בטבריה ובמסעדה). כעולה מטענות מ</w:t>
      </w:r>
      <w:r w:rsidR="002C1F47" w:rsidRPr="003E4F42">
        <w:rPr>
          <w:rFonts w:hint="cs"/>
          <w:rtl/>
        </w:rPr>
        <w:t>שיבי הממשלה לפנינו, לא היה בידיהם</w:t>
      </w:r>
      <w:r w:rsidRPr="003E4F42">
        <w:rPr>
          <w:rFonts w:hint="cs"/>
          <w:rtl/>
        </w:rPr>
        <w:t xml:space="preserve"> מידע על כוונת יושב ראש הוועדה הממונה במסעדה להתמודד בבחירות הקרובות ולכן, בכל הנוגע לראש ועדה ממונה, שאלת תחולת תיקון מס' 53 רלוונטית אך לעניין התמודדותו של בועז יוסף לראשות עיריית טבריה. עוד נציין כי לא הובאה לפנינו זהותו של גורם נוסף (חבר ועדה מבין 4 הוועדות הרלוונטיות) שלתיקון (או לביטולו שהתבקש בגדר העתירות) רלוונטיות עבורו.</w:t>
      </w:r>
    </w:p>
    <w:p w:rsidR="001E6B43" w:rsidRPr="003E4F42" w:rsidRDefault="001E6B43" w:rsidP="001E6B43">
      <w:pPr>
        <w:pStyle w:val="Ruller41"/>
        <w:rPr>
          <w:rtl/>
        </w:rPr>
      </w:pPr>
    </w:p>
    <w:p w:rsidR="001E6B43" w:rsidRPr="003E4F42" w:rsidRDefault="001E6B43" w:rsidP="00E848FF">
      <w:pPr>
        <w:pStyle w:val="Ruller4"/>
        <w:rPr>
          <w:rtl/>
        </w:rPr>
      </w:pPr>
      <w:r w:rsidRPr="003E4F42">
        <w:rPr>
          <w:rtl/>
        </w:rPr>
        <w:tab/>
      </w:r>
      <w:r w:rsidRPr="003E4F42">
        <w:rPr>
          <w:rFonts w:hint="cs"/>
          <w:rtl/>
        </w:rPr>
        <w:t xml:space="preserve">ברי כי שילובם של קשיים אלה פוגע במועמדים שכבר קיבלו החלטות בנוגע לריצה בבחירות המקומיות, ועיקר המיקוד הוא בעיר טבריה. כך, כעולה מחומרים שונים שהוצגו לפנינו, מועמדים לראשות עיריית טבריה קיבלו את ההחלטה להתמודד בהסתמך על העובדה (בהתאם לדין שהיה קיים אז) כי ראש הוועדה הממונה אינו מתמודד; ואף שינו מצבם לרעה בהקשר זה (ראו למשל את דבריה של אילוז, בפרוטוקול ישיבה מס' 85 של ועדת הפנים והגנת הסביבה, הכנסת ה-25, 82 (20.6.2023) (להלן: </w:t>
      </w:r>
      <w:r w:rsidRPr="003E4F42">
        <w:rPr>
          <w:rFonts w:ascii="Century" w:hAnsi="Century" w:cs="Miriam" w:hint="cs"/>
          <w:b/>
          <w:spacing w:val="0"/>
          <w:szCs w:val="24"/>
          <w:rtl/>
        </w:rPr>
        <w:t>פרוטוקול הישיבה מיום 20.6.2023</w:t>
      </w:r>
      <w:r w:rsidRPr="003E4F42">
        <w:rPr>
          <w:rFonts w:hint="cs"/>
          <w:rtl/>
        </w:rPr>
        <w:t>) ובסעיף 107 לעתירת התנועה לטוהר המידות; ושל עו"ד מאיר אלמקייס ב</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33; ודבריו של אביב יצחק בפרוטוקול הישיבה מיום 20.6.2023, בעמ' 44 וסעיפים 21-20 לעתירתו; בקשת ההצטרפות להליך מטעם נחמני, סעיף 23). זאת ועוד, וכפי שעלה במסגרת הליך חקיקת התיקון, שיתוף פעולה של גורמים פוליטיים מקומיים בטבריה עם ראש הוועדה הממונה התקיים בהתבסס על הסברה כי אין הוא מהווה "איום פוליטי".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במענה לקשיים שתוארו לעיל, הכנסת, כמו גם בועז יוסף ביקשו לטעון כי חוקתיות תיקון מס' 53 נובעת בין היתר מכך שהוא אך "מחזיר את המצב לקדמותו" ביחס לאפשרותם של חברי ועדות ממונות להתמודד בבחירות, כפי שהיה עד לשנת 2008 (עד לתיקון מס' 39; ראו סעיפים 128, 130 ו-139 לתשובת הכנסת; סעיף 8 לתשובת בועז יוסף). ואולם, דומה כי טענה זו אינה מדויקת כדי הצורך, וזאת מאחר שהיא אינה משקפת את המצב הנורמטיבי במלואו. כך, נראה כי עד לתיקון מס' 39, היה קיים </w:t>
      </w:r>
      <w:r w:rsidRPr="003E4F42">
        <w:rPr>
          <w:rFonts w:cs="Miriam" w:hint="cs"/>
          <w:b/>
          <w:spacing w:val="0"/>
          <w:szCs w:val="24"/>
          <w:rtl/>
        </w:rPr>
        <w:t>נוהג</w:t>
      </w:r>
      <w:r w:rsidRPr="003E4F42">
        <w:rPr>
          <w:rFonts w:hint="cs"/>
          <w:rtl/>
        </w:rPr>
        <w:t xml:space="preserve"> שלפיו לא ימונה לתפקיד יושב ראש ועדה ממונה מי שמתגורר באותה רשות מקומית. כך, צוין במפורש בעניין </w:t>
      </w:r>
      <w:r w:rsidRPr="003E4F42">
        <w:rPr>
          <w:rFonts w:ascii="Century" w:hAnsi="Century" w:cs="Miriam" w:hint="cs"/>
          <w:b/>
          <w:spacing w:val="0"/>
          <w:sz w:val="22"/>
          <w:szCs w:val="24"/>
          <w:rtl/>
        </w:rPr>
        <w:t>קריספל</w:t>
      </w:r>
      <w:r w:rsidRPr="003E4F42">
        <w:rPr>
          <w:rFonts w:hint="cs"/>
          <w:rtl/>
        </w:rPr>
        <w:t xml:space="preserve"> כי "בדרך-כלל מתמנה לתפקיד מסוג זה אדם בעל כישורים מקצועיים שאף אין מתקיימים בו כללי הכשירות להיבחר, שכן אינו מתמנה מקרב תושבי הרשות דווקא. ביסוד המדיניות האמורה עומדת, בין היתר, הגישה המבקשת למנוע מתן יתרון לא הוגן לנושא התפקיד בהתמודדות בבחירות הראשונות הנערכות במועצה" (שם, בעמ' 310; יוער כי הכנסת בהגינותה הפנתה לאזכור זה בה"ש 19 לכתב תשובתה).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lastRenderedPageBreak/>
        <w:tab/>
      </w:r>
      <w:r w:rsidRPr="003E4F42">
        <w:rPr>
          <w:rFonts w:hint="cs"/>
          <w:rtl/>
        </w:rPr>
        <w:t xml:space="preserve">עדות נוספת לקיומו של אותו נוהג עולה מתיאור תצהיר התשובה שהגיש משרד הפנים בעניין </w:t>
      </w:r>
      <w:r w:rsidRPr="003E4F42">
        <w:rPr>
          <w:rFonts w:cs="Miriam" w:hint="cs"/>
          <w:b/>
          <w:spacing w:val="0"/>
          <w:szCs w:val="24"/>
          <w:rtl/>
        </w:rPr>
        <w:t>ג'ועמיס</w:t>
      </w:r>
      <w:r w:rsidRPr="003E4F42">
        <w:rPr>
          <w:rFonts w:hint="cs"/>
          <w:rtl/>
        </w:rPr>
        <w:t xml:space="preserve">, שבו תוארה "מדיניותו הכללית של [שר הפנים </w:t>
      </w:r>
      <w:r w:rsidRPr="003E4F42">
        <w:rPr>
          <w:rtl/>
        </w:rPr>
        <w:t>–</w:t>
      </w:r>
      <w:r w:rsidRPr="003E4F42">
        <w:rPr>
          <w:rFonts w:hint="cs"/>
          <w:rtl/>
        </w:rPr>
        <w:t xml:space="preserve"> ע' פ'] שלא למנות למועצות מקומיות את תושבי אותו היישוב" (בג"ץ 5240/96 </w:t>
      </w:r>
      <w:r w:rsidRPr="003E4F42">
        <w:rPr>
          <w:rFonts w:cs="Miriam" w:hint="cs"/>
          <w:b/>
          <w:spacing w:val="0"/>
          <w:szCs w:val="24"/>
          <w:rtl/>
        </w:rPr>
        <w:t>ג'ועמיס נ' שר הפנים</w:t>
      </w:r>
      <w:r w:rsidRPr="003E4F42">
        <w:rPr>
          <w:rFonts w:hint="cs"/>
          <w:rtl/>
        </w:rPr>
        <w:t xml:space="preserve">, פ"ד נא(1) 289, 301 (1997); כן השוו לבג"ץ 6458/96 </w:t>
      </w:r>
      <w:r w:rsidRPr="003E4F42">
        <w:rPr>
          <w:rFonts w:cs="Miriam" w:hint="cs"/>
          <w:b/>
          <w:spacing w:val="0"/>
          <w:szCs w:val="24"/>
          <w:rtl/>
        </w:rPr>
        <w:t>אבו קרינאת נ' שר הפנים</w:t>
      </w:r>
      <w:r w:rsidRPr="003E4F42">
        <w:rPr>
          <w:rFonts w:hint="cs"/>
          <w:rtl/>
        </w:rPr>
        <w:t xml:space="preserve">, פ"ד נב(2) 132, 137 (1998); בקשה לקיים דיון נוסף בפסק דין זה נדחתה, דנג"ץ 2728/98 </w:t>
      </w:r>
      <w:r w:rsidRPr="003E4F42">
        <w:rPr>
          <w:rFonts w:cs="Miriam" w:hint="cs"/>
          <w:b/>
          <w:spacing w:val="0"/>
          <w:szCs w:val="24"/>
          <w:rtl/>
        </w:rPr>
        <w:t xml:space="preserve">אבו קוש נ' שר הפנים </w:t>
      </w:r>
      <w:r w:rsidRPr="003E4F42">
        <w:rPr>
          <w:rFonts w:hint="cs"/>
          <w:rtl/>
        </w:rPr>
        <w:t xml:space="preserve">(26.11.1998)). באותו עניין, תוארה החלטת שר הפנים </w:t>
      </w:r>
      <w:r w:rsidRPr="003E4F42">
        <w:rPr>
          <w:rFonts w:ascii="Century" w:hAnsi="Century" w:cs="Miriam" w:hint="cs"/>
          <w:b/>
          <w:spacing w:val="0"/>
          <w:sz w:val="22"/>
          <w:szCs w:val="24"/>
          <w:rtl/>
        </w:rPr>
        <w:t>למנות למועצה ממונה את תושבי המקום</w:t>
      </w:r>
      <w:r w:rsidRPr="003E4F42">
        <w:rPr>
          <w:rFonts w:cs="Miriam" w:hint="cs"/>
          <w:b/>
          <w:spacing w:val="0"/>
          <w:szCs w:val="24"/>
          <w:rtl/>
        </w:rPr>
        <w:t xml:space="preserve"> </w:t>
      </w:r>
      <w:r w:rsidRPr="003E4F42">
        <w:rPr>
          <w:rFonts w:hint="cs"/>
          <w:rtl/>
        </w:rPr>
        <w:t xml:space="preserve">כסטייה ממדיניות, שנבעה מרחשי הציבור ביישוב הספציפי (באותו יישוב נערך משאל בסוגיה זו, ורוב ניכר של 80% מהמשתתפים הכריע בעד מינוי ראש מועצה מקומית מקרב תושבי </w:t>
      </w:r>
      <w:r w:rsidR="00E848FF" w:rsidRPr="003E4F42">
        <w:rPr>
          <w:rFonts w:hint="cs"/>
          <w:rtl/>
        </w:rPr>
        <w:t>המקום; ראו שם, בעמ' 292, 294).</w:t>
      </w:r>
    </w:p>
    <w:p w:rsidR="001E6B43" w:rsidRPr="003E4F42" w:rsidRDefault="001E6B43" w:rsidP="001E6B43">
      <w:pPr>
        <w:pStyle w:val="Ruller41"/>
        <w:rPr>
          <w:rtl/>
        </w:rPr>
      </w:pPr>
    </w:p>
    <w:p w:rsidR="001E6B43" w:rsidRPr="003E4F42" w:rsidRDefault="001E6B43" w:rsidP="001E6B43">
      <w:pPr>
        <w:pStyle w:val="Ruller41"/>
        <w:rPr>
          <w:rFonts w:ascii="Century" w:hAnsi="Century"/>
          <w:rtl/>
        </w:rPr>
      </w:pPr>
      <w:r w:rsidRPr="003E4F42">
        <w:rPr>
          <w:rFonts w:ascii="Century" w:hAnsi="Century"/>
          <w:rtl/>
        </w:rPr>
        <w:tab/>
      </w:r>
      <w:r w:rsidRPr="003E4F42">
        <w:rPr>
          <w:rFonts w:ascii="Century" w:hAnsi="Century" w:hint="cs"/>
          <w:rtl/>
        </w:rPr>
        <w:t>לכך יש להוסיף כי גם מעיון בהליך חקיקת תיקון מס' 39 (שקדם כזכור לתיקון מס' 53 נושא העתירות), ניתן למצוא התייחסות ברורה לקיומה של מגבלה מינהלית על התמודדות יושב ראש ועדה ממונה בבחירות ברשות המקומית שבה מונה. כך, התייחס חבר הכנסת יורם מרציאנו (יוזם הצעת החוק שהובילה לתיקון מס' 39) לשאלה אם הייתה בעבר הצעת חוק שמנעה התמודדות של יושב ראש ועדה ממונה:</w:t>
      </w:r>
    </w:p>
    <w:p w:rsidR="001E6B43" w:rsidRPr="003E4F42" w:rsidRDefault="001E6B43" w:rsidP="001E6B43">
      <w:pPr>
        <w:pStyle w:val="Ruller41"/>
        <w:rPr>
          <w:rFonts w:ascii="Century" w:hAnsi="Century"/>
          <w:rtl/>
        </w:rPr>
      </w:pPr>
    </w:p>
    <w:p w:rsidR="001E6B43" w:rsidRPr="003E4F42" w:rsidRDefault="001E6B43" w:rsidP="001E6B43">
      <w:pPr>
        <w:pStyle w:val="Ruller5"/>
        <w:rPr>
          <w:rtl/>
        </w:rPr>
      </w:pPr>
      <w:r w:rsidRPr="003E4F42">
        <w:rPr>
          <w:rFonts w:hint="cs"/>
          <w:rtl/>
        </w:rPr>
        <w:t>"</w:t>
      </w:r>
      <w:r w:rsidRPr="003E4F42">
        <w:rPr>
          <w:rFonts w:hint="eastAsia"/>
          <w:rtl/>
        </w:rPr>
        <w:t>היא</w:t>
      </w:r>
      <w:r w:rsidRPr="003E4F42">
        <w:rPr>
          <w:rtl/>
        </w:rPr>
        <w:t xml:space="preserve"> </w:t>
      </w:r>
      <w:r w:rsidRPr="003E4F42">
        <w:rPr>
          <w:rFonts w:hint="eastAsia"/>
          <w:rtl/>
        </w:rPr>
        <w:t>לא</w:t>
      </w:r>
      <w:r w:rsidRPr="003E4F42">
        <w:rPr>
          <w:rtl/>
        </w:rPr>
        <w:t xml:space="preserve"> </w:t>
      </w:r>
      <w:r w:rsidRPr="003E4F42">
        <w:rPr>
          <w:rFonts w:hint="eastAsia"/>
          <w:rtl/>
        </w:rPr>
        <w:t>עברה</w:t>
      </w:r>
      <w:r w:rsidRPr="003E4F42">
        <w:rPr>
          <w:rtl/>
        </w:rPr>
        <w:t xml:space="preserve"> </w:t>
      </w:r>
      <w:r w:rsidRPr="003E4F42">
        <w:rPr>
          <w:rFonts w:hint="eastAsia"/>
          <w:rtl/>
        </w:rPr>
        <w:t>בקריאה</w:t>
      </w:r>
      <w:r w:rsidRPr="003E4F42">
        <w:rPr>
          <w:rtl/>
        </w:rPr>
        <w:t xml:space="preserve"> </w:t>
      </w:r>
      <w:r w:rsidRPr="003E4F42">
        <w:rPr>
          <w:rFonts w:hint="eastAsia"/>
          <w:rtl/>
        </w:rPr>
        <w:t>שנייה</w:t>
      </w:r>
      <w:r w:rsidRPr="003E4F42">
        <w:rPr>
          <w:rtl/>
        </w:rPr>
        <w:t xml:space="preserve"> </w:t>
      </w:r>
      <w:r w:rsidRPr="003E4F42">
        <w:rPr>
          <w:rFonts w:hint="eastAsia"/>
          <w:rtl/>
        </w:rPr>
        <w:t>ושלישית</w:t>
      </w:r>
      <w:r w:rsidRPr="003E4F42">
        <w:rPr>
          <w:rtl/>
        </w:rPr>
        <w:t xml:space="preserve">. </w:t>
      </w:r>
      <w:r w:rsidRPr="003E4F42">
        <w:rPr>
          <w:rFonts w:hint="eastAsia"/>
          <w:rtl/>
        </w:rPr>
        <w:t>כל</w:t>
      </w:r>
      <w:r w:rsidRPr="003E4F42">
        <w:rPr>
          <w:rtl/>
        </w:rPr>
        <w:t xml:space="preserve"> </w:t>
      </w:r>
      <w:r w:rsidRPr="003E4F42">
        <w:rPr>
          <w:rFonts w:hint="eastAsia"/>
          <w:rtl/>
        </w:rPr>
        <w:t>מה</w:t>
      </w:r>
      <w:r w:rsidRPr="003E4F42">
        <w:rPr>
          <w:rtl/>
        </w:rPr>
        <w:t xml:space="preserve"> </w:t>
      </w:r>
      <w:r w:rsidRPr="003E4F42">
        <w:rPr>
          <w:rFonts w:hint="eastAsia"/>
          <w:rtl/>
        </w:rPr>
        <w:t>שיש</w:t>
      </w:r>
      <w:r w:rsidRPr="003E4F42">
        <w:rPr>
          <w:rtl/>
        </w:rPr>
        <w:t xml:space="preserve"> </w:t>
      </w:r>
      <w:r w:rsidRPr="003E4F42">
        <w:rPr>
          <w:rFonts w:hint="eastAsia"/>
          <w:rtl/>
        </w:rPr>
        <w:t>בעניין</w:t>
      </w:r>
      <w:r w:rsidRPr="003E4F42">
        <w:rPr>
          <w:rtl/>
        </w:rPr>
        <w:t xml:space="preserve"> </w:t>
      </w:r>
      <w:r w:rsidRPr="003E4F42">
        <w:rPr>
          <w:rFonts w:hint="eastAsia"/>
          <w:rtl/>
        </w:rPr>
        <w:t>הזה</w:t>
      </w:r>
      <w:r w:rsidRPr="003E4F42">
        <w:rPr>
          <w:rtl/>
        </w:rPr>
        <w:t xml:space="preserve"> </w:t>
      </w:r>
      <w:r w:rsidRPr="003E4F42">
        <w:rPr>
          <w:rFonts w:hint="eastAsia"/>
          <w:rtl/>
        </w:rPr>
        <w:t>הוא</w:t>
      </w:r>
      <w:r w:rsidRPr="003E4F42">
        <w:rPr>
          <w:rtl/>
        </w:rPr>
        <w:t xml:space="preserve"> </w:t>
      </w:r>
      <w:r w:rsidRPr="003E4F42">
        <w:rPr>
          <w:rFonts w:hint="eastAsia"/>
          <w:rtl/>
        </w:rPr>
        <w:t>חוזר</w:t>
      </w:r>
      <w:r w:rsidRPr="003E4F42">
        <w:rPr>
          <w:rtl/>
        </w:rPr>
        <w:t xml:space="preserve"> </w:t>
      </w:r>
      <w:r w:rsidRPr="003E4F42">
        <w:rPr>
          <w:rFonts w:hint="eastAsia"/>
          <w:rtl/>
        </w:rPr>
        <w:t>מנכ</w:t>
      </w:r>
      <w:r w:rsidRPr="003E4F42">
        <w:rPr>
          <w:rtl/>
        </w:rPr>
        <w:t>"</w:t>
      </w:r>
      <w:r w:rsidRPr="003E4F42">
        <w:rPr>
          <w:rFonts w:hint="eastAsia"/>
          <w:rtl/>
        </w:rPr>
        <w:t>ל</w:t>
      </w:r>
      <w:r w:rsidRPr="003E4F42">
        <w:rPr>
          <w:rtl/>
        </w:rPr>
        <w:t xml:space="preserve"> </w:t>
      </w:r>
      <w:r w:rsidRPr="003E4F42">
        <w:rPr>
          <w:rFonts w:hint="eastAsia"/>
          <w:rtl/>
        </w:rPr>
        <w:t>משרד</w:t>
      </w:r>
      <w:r w:rsidRPr="003E4F42">
        <w:rPr>
          <w:rtl/>
        </w:rPr>
        <w:t xml:space="preserve"> </w:t>
      </w:r>
      <w:r w:rsidRPr="003E4F42">
        <w:rPr>
          <w:rFonts w:hint="eastAsia"/>
          <w:rtl/>
        </w:rPr>
        <w:t>הפנים</w:t>
      </w:r>
      <w:r w:rsidRPr="003E4F42">
        <w:rPr>
          <w:rtl/>
        </w:rPr>
        <w:t xml:space="preserve">, </w:t>
      </w:r>
      <w:r w:rsidRPr="003E4F42">
        <w:rPr>
          <w:rFonts w:hint="eastAsia"/>
          <w:rtl/>
        </w:rPr>
        <w:t>שכתב</w:t>
      </w:r>
      <w:r w:rsidRPr="003E4F42">
        <w:rPr>
          <w:rtl/>
        </w:rPr>
        <w:t xml:space="preserve"> </w:t>
      </w:r>
      <w:r w:rsidRPr="003E4F42">
        <w:rPr>
          <w:rFonts w:hint="eastAsia"/>
          <w:rtl/>
        </w:rPr>
        <w:t>מר</w:t>
      </w:r>
      <w:r w:rsidRPr="003E4F42">
        <w:rPr>
          <w:rtl/>
        </w:rPr>
        <w:t xml:space="preserve"> </w:t>
      </w:r>
      <w:r w:rsidRPr="003E4F42">
        <w:rPr>
          <w:rFonts w:hint="eastAsia"/>
          <w:rtl/>
        </w:rPr>
        <w:t>אריה</w:t>
      </w:r>
      <w:r w:rsidRPr="003E4F42">
        <w:rPr>
          <w:rtl/>
        </w:rPr>
        <w:t xml:space="preserve"> </w:t>
      </w:r>
      <w:r w:rsidRPr="003E4F42">
        <w:rPr>
          <w:rFonts w:hint="eastAsia"/>
          <w:rtl/>
        </w:rPr>
        <w:t>בר</w:t>
      </w:r>
      <w:r w:rsidRPr="003E4F42">
        <w:rPr>
          <w:rtl/>
        </w:rPr>
        <w:t xml:space="preserve"> </w:t>
      </w:r>
      <w:r w:rsidRPr="003E4F42">
        <w:rPr>
          <w:rFonts w:hint="eastAsia"/>
          <w:rtl/>
        </w:rPr>
        <w:t>בעקבות</w:t>
      </w:r>
      <w:r w:rsidRPr="003E4F42">
        <w:rPr>
          <w:rtl/>
        </w:rPr>
        <w:t xml:space="preserve"> </w:t>
      </w:r>
      <w:r w:rsidRPr="003E4F42">
        <w:rPr>
          <w:rFonts w:hint="eastAsia"/>
          <w:rtl/>
        </w:rPr>
        <w:t>בקשה</w:t>
      </w:r>
      <w:r w:rsidRPr="003E4F42">
        <w:rPr>
          <w:rtl/>
        </w:rPr>
        <w:t xml:space="preserve"> </w:t>
      </w:r>
      <w:r w:rsidRPr="003E4F42">
        <w:rPr>
          <w:rFonts w:hint="eastAsia"/>
          <w:rtl/>
        </w:rPr>
        <w:t>של</w:t>
      </w:r>
      <w:r w:rsidRPr="003E4F42">
        <w:rPr>
          <w:rtl/>
        </w:rPr>
        <w:t xml:space="preserve"> </w:t>
      </w:r>
      <w:r w:rsidRPr="003E4F42">
        <w:rPr>
          <w:rFonts w:hint="eastAsia"/>
          <w:rtl/>
        </w:rPr>
        <w:t>שר</w:t>
      </w:r>
      <w:r w:rsidRPr="003E4F42">
        <w:rPr>
          <w:rtl/>
        </w:rPr>
        <w:t xml:space="preserve"> </w:t>
      </w:r>
      <w:r w:rsidRPr="003E4F42">
        <w:rPr>
          <w:rFonts w:hint="eastAsia"/>
          <w:rtl/>
        </w:rPr>
        <w:t>הפנים</w:t>
      </w:r>
      <w:r w:rsidRPr="003E4F42">
        <w:rPr>
          <w:rtl/>
        </w:rPr>
        <w:t xml:space="preserve">, </w:t>
      </w:r>
      <w:r w:rsidRPr="003E4F42">
        <w:rPr>
          <w:rFonts w:ascii="Century" w:hAnsi="Century" w:cs="Miriam" w:hint="eastAsia"/>
          <w:b/>
          <w:spacing w:val="0"/>
          <w:szCs w:val="24"/>
          <w:rtl/>
        </w:rPr>
        <w:t>שמורה</w:t>
      </w:r>
      <w:r w:rsidRPr="003E4F42">
        <w:rPr>
          <w:rFonts w:ascii="Century" w:hAnsi="Century" w:cs="Miriam"/>
          <w:b/>
          <w:spacing w:val="0"/>
          <w:szCs w:val="24"/>
          <w:rtl/>
        </w:rPr>
        <w:t xml:space="preserve"> </w:t>
      </w:r>
      <w:r w:rsidRPr="003E4F42">
        <w:rPr>
          <w:rFonts w:ascii="Century" w:hAnsi="Century" w:cs="Miriam" w:hint="eastAsia"/>
          <w:b/>
          <w:spacing w:val="0"/>
          <w:szCs w:val="24"/>
          <w:rtl/>
        </w:rPr>
        <w:t>לראשי</w:t>
      </w:r>
      <w:r w:rsidRPr="003E4F42">
        <w:rPr>
          <w:rFonts w:ascii="Century" w:hAnsi="Century" w:cs="Miriam"/>
          <w:b/>
          <w:spacing w:val="0"/>
          <w:szCs w:val="24"/>
          <w:rtl/>
        </w:rPr>
        <w:t xml:space="preserve"> </w:t>
      </w:r>
      <w:r w:rsidRPr="003E4F42">
        <w:rPr>
          <w:rFonts w:ascii="Century" w:hAnsi="Century" w:cs="Miriam" w:hint="eastAsia"/>
          <w:b/>
          <w:spacing w:val="0"/>
          <w:szCs w:val="24"/>
          <w:rtl/>
        </w:rPr>
        <w:t>ועדות</w:t>
      </w:r>
      <w:r w:rsidRPr="003E4F42">
        <w:rPr>
          <w:rFonts w:ascii="Century" w:hAnsi="Century" w:cs="Miriam"/>
          <w:b/>
          <w:spacing w:val="0"/>
          <w:szCs w:val="24"/>
          <w:rtl/>
        </w:rPr>
        <w:t xml:space="preserve"> </w:t>
      </w:r>
      <w:r w:rsidRPr="003E4F42">
        <w:rPr>
          <w:rFonts w:ascii="Century" w:hAnsi="Century" w:cs="Miriam" w:hint="eastAsia"/>
          <w:b/>
          <w:spacing w:val="0"/>
          <w:szCs w:val="24"/>
          <w:rtl/>
        </w:rPr>
        <w:t>ממונות</w:t>
      </w:r>
      <w:r w:rsidRPr="003E4F42">
        <w:rPr>
          <w:rFonts w:ascii="Century" w:hAnsi="Century" w:cs="Miriam"/>
          <w:b/>
          <w:spacing w:val="0"/>
          <w:szCs w:val="24"/>
          <w:rtl/>
        </w:rPr>
        <w:t xml:space="preserve"> </w:t>
      </w:r>
      <w:r w:rsidRPr="003E4F42">
        <w:rPr>
          <w:rFonts w:ascii="Century" w:hAnsi="Century" w:cs="Miriam" w:hint="eastAsia"/>
          <w:b/>
          <w:spacing w:val="0"/>
          <w:szCs w:val="24"/>
          <w:rtl/>
        </w:rPr>
        <w:t>וקרואות</w:t>
      </w:r>
      <w:r w:rsidRPr="003E4F42">
        <w:rPr>
          <w:rFonts w:ascii="Century" w:hAnsi="Century" w:cs="Miriam"/>
          <w:b/>
          <w:spacing w:val="0"/>
          <w:szCs w:val="24"/>
          <w:rtl/>
        </w:rPr>
        <w:t xml:space="preserve"> </w:t>
      </w:r>
      <w:r w:rsidRPr="003E4F42">
        <w:rPr>
          <w:rFonts w:ascii="Century" w:hAnsi="Century" w:cs="Miriam" w:hint="eastAsia"/>
          <w:b/>
          <w:spacing w:val="0"/>
          <w:szCs w:val="24"/>
          <w:rtl/>
        </w:rPr>
        <w:t>לא</w:t>
      </w:r>
      <w:r w:rsidRPr="003E4F42">
        <w:rPr>
          <w:rFonts w:ascii="Century" w:hAnsi="Century" w:cs="Miriam"/>
          <w:b/>
          <w:spacing w:val="0"/>
          <w:szCs w:val="24"/>
          <w:rtl/>
        </w:rPr>
        <w:t xml:space="preserve"> </w:t>
      </w:r>
      <w:r w:rsidRPr="003E4F42">
        <w:rPr>
          <w:rFonts w:ascii="Century" w:hAnsi="Century" w:cs="Miriam" w:hint="eastAsia"/>
          <w:b/>
          <w:spacing w:val="0"/>
          <w:szCs w:val="24"/>
          <w:rtl/>
        </w:rPr>
        <w:t>להתמודד</w:t>
      </w:r>
      <w:r w:rsidRPr="003E4F42">
        <w:rPr>
          <w:rFonts w:ascii="Century" w:hAnsi="Century" w:cs="Miriam"/>
          <w:b/>
          <w:spacing w:val="0"/>
          <w:szCs w:val="24"/>
          <w:rtl/>
        </w:rPr>
        <w:t xml:space="preserve"> </w:t>
      </w:r>
      <w:r w:rsidRPr="003E4F42">
        <w:rPr>
          <w:rFonts w:ascii="Century" w:hAnsi="Century" w:cs="Miriam" w:hint="eastAsia"/>
          <w:b/>
          <w:spacing w:val="0"/>
          <w:szCs w:val="24"/>
          <w:rtl/>
        </w:rPr>
        <w:t>בבחירות</w:t>
      </w:r>
      <w:r w:rsidRPr="003E4F42">
        <w:rPr>
          <w:rtl/>
        </w:rPr>
        <w:t xml:space="preserve">. </w:t>
      </w:r>
      <w:r w:rsidRPr="003E4F42">
        <w:rPr>
          <w:rFonts w:hint="eastAsia"/>
          <w:rtl/>
        </w:rPr>
        <w:t>אבל</w:t>
      </w:r>
      <w:r w:rsidRPr="003E4F42">
        <w:rPr>
          <w:rtl/>
        </w:rPr>
        <w:t xml:space="preserve"> </w:t>
      </w:r>
      <w:r w:rsidRPr="003E4F42">
        <w:rPr>
          <w:rFonts w:hint="eastAsia"/>
          <w:rtl/>
        </w:rPr>
        <w:t>חוזר</w:t>
      </w:r>
      <w:r w:rsidRPr="003E4F42">
        <w:rPr>
          <w:rtl/>
        </w:rPr>
        <w:t xml:space="preserve"> </w:t>
      </w:r>
      <w:r w:rsidRPr="003E4F42">
        <w:rPr>
          <w:rFonts w:hint="eastAsia"/>
          <w:rtl/>
        </w:rPr>
        <w:t>מנכ</w:t>
      </w:r>
      <w:r w:rsidRPr="003E4F42">
        <w:rPr>
          <w:rtl/>
        </w:rPr>
        <w:t>"</w:t>
      </w:r>
      <w:r w:rsidRPr="003E4F42">
        <w:rPr>
          <w:rFonts w:hint="eastAsia"/>
          <w:rtl/>
        </w:rPr>
        <w:t>ל</w:t>
      </w:r>
      <w:r w:rsidRPr="003E4F42">
        <w:rPr>
          <w:rtl/>
        </w:rPr>
        <w:t xml:space="preserve"> </w:t>
      </w:r>
      <w:r w:rsidRPr="003E4F42">
        <w:rPr>
          <w:rFonts w:hint="eastAsia"/>
          <w:rtl/>
        </w:rPr>
        <w:t>הוא</w:t>
      </w:r>
      <w:r w:rsidRPr="003E4F42">
        <w:rPr>
          <w:rtl/>
        </w:rPr>
        <w:t xml:space="preserve"> </w:t>
      </w:r>
      <w:r w:rsidRPr="003E4F42">
        <w:rPr>
          <w:rFonts w:hint="eastAsia"/>
          <w:rtl/>
        </w:rPr>
        <w:t>בגדר</w:t>
      </w:r>
      <w:r w:rsidRPr="003E4F42">
        <w:rPr>
          <w:rtl/>
        </w:rPr>
        <w:t xml:space="preserve"> </w:t>
      </w:r>
      <w:r w:rsidRPr="003E4F42">
        <w:rPr>
          <w:rFonts w:hint="eastAsia"/>
          <w:rtl/>
        </w:rPr>
        <w:t>המלצה</w:t>
      </w:r>
      <w:r w:rsidRPr="003E4F42">
        <w:rPr>
          <w:rtl/>
        </w:rPr>
        <w:t xml:space="preserve">, </w:t>
      </w:r>
      <w:r w:rsidRPr="003E4F42">
        <w:rPr>
          <w:rFonts w:hint="eastAsia"/>
          <w:rtl/>
        </w:rPr>
        <w:t>זה</w:t>
      </w:r>
      <w:r w:rsidRPr="003E4F42">
        <w:rPr>
          <w:rtl/>
        </w:rPr>
        <w:t xml:space="preserve"> </w:t>
      </w:r>
      <w:r w:rsidRPr="003E4F42">
        <w:rPr>
          <w:rFonts w:hint="eastAsia"/>
          <w:rtl/>
        </w:rPr>
        <w:t>לא</w:t>
      </w:r>
      <w:r w:rsidRPr="003E4F42">
        <w:rPr>
          <w:rtl/>
        </w:rPr>
        <w:t xml:space="preserve"> </w:t>
      </w:r>
      <w:r w:rsidRPr="003E4F42">
        <w:rPr>
          <w:rFonts w:hint="eastAsia"/>
          <w:rtl/>
        </w:rPr>
        <w:t>דבר</w:t>
      </w:r>
      <w:r w:rsidRPr="003E4F42">
        <w:rPr>
          <w:rtl/>
        </w:rPr>
        <w:t xml:space="preserve"> </w:t>
      </w:r>
      <w:r w:rsidRPr="003E4F42">
        <w:rPr>
          <w:rFonts w:hint="eastAsia"/>
          <w:rtl/>
        </w:rPr>
        <w:t>שקבוע</w:t>
      </w:r>
      <w:r w:rsidRPr="003E4F42">
        <w:rPr>
          <w:rtl/>
        </w:rPr>
        <w:t xml:space="preserve"> </w:t>
      </w:r>
      <w:r w:rsidRPr="003E4F42">
        <w:rPr>
          <w:rFonts w:hint="eastAsia"/>
          <w:rtl/>
        </w:rPr>
        <w:t>בחוק</w:t>
      </w:r>
      <w:r w:rsidRPr="003E4F42">
        <w:rPr>
          <w:rFonts w:hint="cs"/>
          <w:rtl/>
        </w:rPr>
        <w:t xml:space="preserve">" (פרוטוקול הישיבה מיום 7.9.2008, בעמ' 3; ההדגשה הוספה </w:t>
      </w:r>
      <w:r w:rsidRPr="003E4F42">
        <w:rPr>
          <w:rtl/>
        </w:rPr>
        <w:t>–</w:t>
      </w:r>
      <w:r w:rsidRPr="003E4F42">
        <w:rPr>
          <w:rFonts w:hint="cs"/>
          <w:rtl/>
        </w:rPr>
        <w:t xml:space="preserve"> ע' פ'). </w:t>
      </w:r>
    </w:p>
    <w:p w:rsidR="001E6B43" w:rsidRPr="003E4F42" w:rsidRDefault="001E6B43" w:rsidP="001E6B43">
      <w:pPr>
        <w:pStyle w:val="Ruller5"/>
        <w:spacing w:line="360" w:lineRule="auto"/>
        <w:rPr>
          <w:rtl/>
        </w:rPr>
      </w:pPr>
    </w:p>
    <w:p w:rsidR="001E6B43" w:rsidRPr="003E4F42" w:rsidRDefault="001E6B43" w:rsidP="001E6B43">
      <w:pPr>
        <w:pStyle w:val="Ruller4"/>
        <w:numPr>
          <w:ilvl w:val="0"/>
          <w:numId w:val="0"/>
        </w:numPr>
        <w:rPr>
          <w:rtl/>
        </w:rPr>
      </w:pPr>
      <w:r w:rsidRPr="003E4F42">
        <w:rPr>
          <w:rtl/>
        </w:rPr>
        <w:tab/>
      </w:r>
      <w:r w:rsidRPr="003E4F42">
        <w:rPr>
          <w:rFonts w:hint="cs"/>
          <w:rtl/>
        </w:rPr>
        <w:t>ובהמשך אותה ישיבה הוסיף וציין:</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Fonts w:hint="eastAsia"/>
          <w:rtl/>
        </w:rPr>
        <w:t>יש</w:t>
      </w:r>
      <w:r w:rsidRPr="003E4F42">
        <w:rPr>
          <w:rtl/>
        </w:rPr>
        <w:t xml:space="preserve"> </w:t>
      </w:r>
      <w:r w:rsidRPr="003E4F42">
        <w:rPr>
          <w:rFonts w:hint="eastAsia"/>
          <w:rtl/>
        </w:rPr>
        <w:t>לי</w:t>
      </w:r>
      <w:r w:rsidRPr="003E4F42">
        <w:rPr>
          <w:rtl/>
        </w:rPr>
        <w:t xml:space="preserve"> </w:t>
      </w:r>
      <w:r w:rsidRPr="003E4F42">
        <w:rPr>
          <w:rFonts w:hint="eastAsia"/>
          <w:rtl/>
        </w:rPr>
        <w:t>דוגמה</w:t>
      </w:r>
      <w:r w:rsidRPr="003E4F42">
        <w:rPr>
          <w:rtl/>
        </w:rPr>
        <w:t xml:space="preserve"> </w:t>
      </w:r>
      <w:r w:rsidRPr="003E4F42">
        <w:rPr>
          <w:rFonts w:hint="eastAsia"/>
          <w:rtl/>
        </w:rPr>
        <w:t>קלסית</w:t>
      </w:r>
      <w:r w:rsidRPr="003E4F42">
        <w:rPr>
          <w:rtl/>
        </w:rPr>
        <w:t xml:space="preserve"> </w:t>
      </w:r>
      <w:r w:rsidRPr="003E4F42">
        <w:rPr>
          <w:rFonts w:hint="eastAsia"/>
          <w:rtl/>
        </w:rPr>
        <w:t>בעניין</w:t>
      </w:r>
      <w:r w:rsidRPr="003E4F42">
        <w:rPr>
          <w:rtl/>
        </w:rPr>
        <w:t xml:space="preserve"> </w:t>
      </w:r>
      <w:r w:rsidRPr="003E4F42">
        <w:rPr>
          <w:rFonts w:hint="eastAsia"/>
          <w:rtl/>
        </w:rPr>
        <w:t>הזה</w:t>
      </w:r>
      <w:r w:rsidRPr="003E4F42">
        <w:rPr>
          <w:rtl/>
        </w:rPr>
        <w:t xml:space="preserve">. </w:t>
      </w:r>
      <w:r w:rsidRPr="003E4F42">
        <w:rPr>
          <w:rFonts w:hint="eastAsia"/>
          <w:rtl/>
        </w:rPr>
        <w:t>כאשר</w:t>
      </w:r>
      <w:r w:rsidRPr="003E4F42">
        <w:rPr>
          <w:rtl/>
        </w:rPr>
        <w:t xml:space="preserve"> </w:t>
      </w:r>
      <w:r w:rsidRPr="003E4F42">
        <w:rPr>
          <w:rFonts w:hint="eastAsia"/>
          <w:rtl/>
        </w:rPr>
        <w:t>השר</w:t>
      </w:r>
      <w:r w:rsidRPr="003E4F42">
        <w:rPr>
          <w:rtl/>
        </w:rPr>
        <w:t xml:space="preserve"> </w:t>
      </w:r>
      <w:r w:rsidRPr="003E4F42">
        <w:rPr>
          <w:rFonts w:hint="eastAsia"/>
          <w:rtl/>
        </w:rPr>
        <w:t>חיים</w:t>
      </w:r>
      <w:r w:rsidRPr="003E4F42">
        <w:rPr>
          <w:rtl/>
        </w:rPr>
        <w:t xml:space="preserve"> </w:t>
      </w:r>
      <w:r w:rsidRPr="003E4F42">
        <w:rPr>
          <w:rFonts w:hint="eastAsia"/>
          <w:rtl/>
        </w:rPr>
        <w:t>רמון</w:t>
      </w:r>
      <w:r w:rsidRPr="003E4F42">
        <w:rPr>
          <w:rtl/>
        </w:rPr>
        <w:t xml:space="preserve"> </w:t>
      </w:r>
      <w:r w:rsidRPr="003E4F42">
        <w:rPr>
          <w:rFonts w:hint="eastAsia"/>
          <w:rtl/>
        </w:rPr>
        <w:t>היה</w:t>
      </w:r>
      <w:r w:rsidRPr="003E4F42">
        <w:rPr>
          <w:rtl/>
        </w:rPr>
        <w:t xml:space="preserve"> </w:t>
      </w:r>
      <w:r w:rsidRPr="003E4F42">
        <w:rPr>
          <w:rFonts w:hint="eastAsia"/>
          <w:rtl/>
        </w:rPr>
        <w:t>שר</w:t>
      </w:r>
      <w:r w:rsidRPr="003E4F42">
        <w:rPr>
          <w:rtl/>
        </w:rPr>
        <w:t xml:space="preserve"> </w:t>
      </w:r>
      <w:r w:rsidRPr="003E4F42">
        <w:rPr>
          <w:rFonts w:hint="eastAsia"/>
          <w:rtl/>
        </w:rPr>
        <w:t>הפנים</w:t>
      </w:r>
      <w:r w:rsidRPr="003E4F42">
        <w:rPr>
          <w:rtl/>
        </w:rPr>
        <w:t xml:space="preserve"> </w:t>
      </w:r>
      <w:r w:rsidRPr="003E4F42">
        <w:rPr>
          <w:rFonts w:hint="eastAsia"/>
          <w:rtl/>
        </w:rPr>
        <w:t>מוניתי</w:t>
      </w:r>
      <w:r w:rsidRPr="003E4F42">
        <w:rPr>
          <w:rtl/>
        </w:rPr>
        <w:t xml:space="preserve"> </w:t>
      </w:r>
      <w:r w:rsidRPr="003E4F42">
        <w:rPr>
          <w:rFonts w:hint="eastAsia"/>
          <w:rtl/>
        </w:rPr>
        <w:t>להיות</w:t>
      </w:r>
      <w:r w:rsidRPr="003E4F42">
        <w:rPr>
          <w:rtl/>
        </w:rPr>
        <w:t xml:space="preserve"> </w:t>
      </w:r>
      <w:r w:rsidRPr="003E4F42">
        <w:rPr>
          <w:rFonts w:hint="eastAsia"/>
          <w:rtl/>
        </w:rPr>
        <w:t>חבר</w:t>
      </w:r>
      <w:r w:rsidRPr="003E4F42">
        <w:rPr>
          <w:rtl/>
        </w:rPr>
        <w:t xml:space="preserve"> </w:t>
      </w:r>
      <w:r w:rsidRPr="003E4F42">
        <w:rPr>
          <w:rFonts w:hint="eastAsia"/>
          <w:rtl/>
        </w:rPr>
        <w:t>בוועדה</w:t>
      </w:r>
      <w:r w:rsidRPr="003E4F42">
        <w:rPr>
          <w:rtl/>
        </w:rPr>
        <w:t xml:space="preserve"> </w:t>
      </w:r>
      <w:r w:rsidRPr="003E4F42">
        <w:rPr>
          <w:rFonts w:hint="eastAsia"/>
          <w:rtl/>
        </w:rPr>
        <w:t>הממונה</w:t>
      </w:r>
      <w:r w:rsidRPr="003E4F42">
        <w:rPr>
          <w:rtl/>
        </w:rPr>
        <w:t xml:space="preserve"> </w:t>
      </w:r>
      <w:r w:rsidRPr="003E4F42">
        <w:rPr>
          <w:rFonts w:hint="eastAsia"/>
          <w:rtl/>
        </w:rPr>
        <w:t>הקודמת</w:t>
      </w:r>
      <w:r w:rsidRPr="003E4F42">
        <w:rPr>
          <w:rtl/>
        </w:rPr>
        <w:t xml:space="preserve"> </w:t>
      </w:r>
      <w:r w:rsidRPr="003E4F42">
        <w:rPr>
          <w:rFonts w:hint="eastAsia"/>
          <w:rtl/>
        </w:rPr>
        <w:t>בלוד</w:t>
      </w:r>
      <w:r w:rsidRPr="003E4F42">
        <w:rPr>
          <w:rtl/>
        </w:rPr>
        <w:t xml:space="preserve">. </w:t>
      </w:r>
      <w:r w:rsidRPr="003E4F42">
        <w:rPr>
          <w:rFonts w:hint="eastAsia"/>
          <w:rtl/>
        </w:rPr>
        <w:t>הגישו</w:t>
      </w:r>
      <w:r w:rsidRPr="003E4F42">
        <w:rPr>
          <w:rtl/>
        </w:rPr>
        <w:t xml:space="preserve"> </w:t>
      </w:r>
      <w:r w:rsidRPr="003E4F42">
        <w:rPr>
          <w:rFonts w:hint="eastAsia"/>
          <w:rtl/>
        </w:rPr>
        <w:t>נגדי</w:t>
      </w:r>
      <w:r w:rsidRPr="003E4F42">
        <w:rPr>
          <w:rtl/>
        </w:rPr>
        <w:t xml:space="preserve"> </w:t>
      </w:r>
      <w:r w:rsidRPr="003E4F42">
        <w:rPr>
          <w:rFonts w:hint="eastAsia"/>
          <w:rtl/>
        </w:rPr>
        <w:t>עתירה</w:t>
      </w:r>
      <w:r w:rsidRPr="003E4F42">
        <w:rPr>
          <w:rtl/>
        </w:rPr>
        <w:t xml:space="preserve"> </w:t>
      </w:r>
      <w:r w:rsidRPr="003E4F42">
        <w:rPr>
          <w:rFonts w:hint="eastAsia"/>
          <w:rtl/>
        </w:rPr>
        <w:t>לבג</w:t>
      </w:r>
      <w:r w:rsidRPr="003E4F42">
        <w:rPr>
          <w:rtl/>
        </w:rPr>
        <w:t>"</w:t>
      </w:r>
      <w:r w:rsidRPr="003E4F42">
        <w:rPr>
          <w:rFonts w:hint="eastAsia"/>
          <w:rtl/>
        </w:rPr>
        <w:t>ץ</w:t>
      </w:r>
      <w:r w:rsidRPr="003E4F42">
        <w:rPr>
          <w:rtl/>
        </w:rPr>
        <w:t xml:space="preserve">. </w:t>
      </w:r>
      <w:r w:rsidRPr="003E4F42">
        <w:rPr>
          <w:rFonts w:hint="eastAsia"/>
          <w:rtl/>
        </w:rPr>
        <w:t>בבואי</w:t>
      </w:r>
      <w:r w:rsidRPr="003E4F42">
        <w:rPr>
          <w:rtl/>
        </w:rPr>
        <w:t xml:space="preserve"> </w:t>
      </w:r>
      <w:r w:rsidRPr="003E4F42">
        <w:rPr>
          <w:rFonts w:hint="eastAsia"/>
          <w:rtl/>
        </w:rPr>
        <w:t>לבג</w:t>
      </w:r>
      <w:r w:rsidRPr="003E4F42">
        <w:rPr>
          <w:rtl/>
        </w:rPr>
        <w:t>"</w:t>
      </w:r>
      <w:r w:rsidRPr="003E4F42">
        <w:rPr>
          <w:rFonts w:hint="eastAsia"/>
          <w:rtl/>
        </w:rPr>
        <w:t>ץ</w:t>
      </w:r>
      <w:r w:rsidRPr="003E4F42">
        <w:rPr>
          <w:rtl/>
        </w:rPr>
        <w:t xml:space="preserve"> </w:t>
      </w:r>
      <w:r w:rsidRPr="003E4F42">
        <w:rPr>
          <w:rFonts w:hint="eastAsia"/>
          <w:rtl/>
        </w:rPr>
        <w:t>אמרו</w:t>
      </w:r>
      <w:r w:rsidRPr="003E4F42">
        <w:rPr>
          <w:rtl/>
        </w:rPr>
        <w:t xml:space="preserve"> </w:t>
      </w:r>
      <w:r w:rsidRPr="003E4F42">
        <w:rPr>
          <w:rFonts w:hint="eastAsia"/>
          <w:rtl/>
        </w:rPr>
        <w:t>לי</w:t>
      </w:r>
      <w:r w:rsidRPr="003E4F42">
        <w:rPr>
          <w:rtl/>
        </w:rPr>
        <w:t xml:space="preserve"> </w:t>
      </w:r>
      <w:r w:rsidRPr="003E4F42">
        <w:rPr>
          <w:rFonts w:hint="eastAsia"/>
          <w:rtl/>
        </w:rPr>
        <w:t>שלושת</w:t>
      </w:r>
      <w:r w:rsidRPr="003E4F42">
        <w:rPr>
          <w:rtl/>
        </w:rPr>
        <w:t xml:space="preserve"> </w:t>
      </w:r>
      <w:r w:rsidRPr="003E4F42">
        <w:rPr>
          <w:rFonts w:hint="eastAsia"/>
          <w:rtl/>
        </w:rPr>
        <w:t>שופטי</w:t>
      </w:r>
      <w:r w:rsidRPr="003E4F42">
        <w:rPr>
          <w:rtl/>
        </w:rPr>
        <w:t xml:space="preserve"> </w:t>
      </w:r>
      <w:r w:rsidRPr="003E4F42">
        <w:rPr>
          <w:rFonts w:hint="eastAsia"/>
          <w:rtl/>
        </w:rPr>
        <w:t>בית</w:t>
      </w:r>
      <w:r w:rsidRPr="003E4F42">
        <w:rPr>
          <w:rtl/>
        </w:rPr>
        <w:t>-</w:t>
      </w:r>
      <w:r w:rsidRPr="003E4F42">
        <w:rPr>
          <w:rFonts w:hint="eastAsia"/>
          <w:rtl/>
        </w:rPr>
        <w:t>המשפט</w:t>
      </w:r>
      <w:r w:rsidRPr="003E4F42">
        <w:rPr>
          <w:rtl/>
        </w:rPr>
        <w:t xml:space="preserve"> </w:t>
      </w:r>
      <w:r w:rsidRPr="003E4F42">
        <w:rPr>
          <w:rFonts w:hint="eastAsia"/>
          <w:rtl/>
        </w:rPr>
        <w:t>העליון</w:t>
      </w:r>
      <w:r w:rsidRPr="003E4F42">
        <w:rPr>
          <w:rtl/>
        </w:rPr>
        <w:t xml:space="preserve">, </w:t>
      </w:r>
      <w:r w:rsidRPr="003E4F42">
        <w:rPr>
          <w:rFonts w:hint="eastAsia"/>
          <w:rtl/>
        </w:rPr>
        <w:t>שאנחנו</w:t>
      </w:r>
      <w:r w:rsidRPr="003E4F42">
        <w:rPr>
          <w:rtl/>
        </w:rPr>
        <w:t xml:space="preserve"> </w:t>
      </w:r>
      <w:r w:rsidRPr="003E4F42">
        <w:rPr>
          <w:rFonts w:hint="eastAsia"/>
          <w:rtl/>
        </w:rPr>
        <w:t>מכבדים</w:t>
      </w:r>
      <w:r w:rsidRPr="003E4F42">
        <w:rPr>
          <w:rtl/>
        </w:rPr>
        <w:t xml:space="preserve"> </w:t>
      </w:r>
      <w:r w:rsidRPr="003E4F42">
        <w:rPr>
          <w:rFonts w:hint="eastAsia"/>
          <w:rtl/>
        </w:rPr>
        <w:t>אותו</w:t>
      </w:r>
      <w:r w:rsidRPr="003E4F42">
        <w:rPr>
          <w:rtl/>
        </w:rPr>
        <w:t xml:space="preserve"> </w:t>
      </w:r>
      <w:r w:rsidRPr="003E4F42">
        <w:rPr>
          <w:rFonts w:hint="eastAsia"/>
          <w:rtl/>
        </w:rPr>
        <w:t>מאוד</w:t>
      </w:r>
      <w:r w:rsidRPr="003E4F42">
        <w:rPr>
          <w:rtl/>
        </w:rPr>
        <w:t xml:space="preserve"> </w:t>
      </w:r>
      <w:r w:rsidRPr="003E4F42">
        <w:rPr>
          <w:rFonts w:hint="eastAsia"/>
          <w:rtl/>
        </w:rPr>
        <w:t>ורוצים</w:t>
      </w:r>
      <w:r w:rsidRPr="003E4F42">
        <w:rPr>
          <w:rtl/>
        </w:rPr>
        <w:t xml:space="preserve"> </w:t>
      </w:r>
      <w:r w:rsidRPr="003E4F42">
        <w:rPr>
          <w:rFonts w:hint="eastAsia"/>
          <w:rtl/>
        </w:rPr>
        <w:t>לשמור</w:t>
      </w:r>
      <w:r w:rsidRPr="003E4F42">
        <w:rPr>
          <w:rtl/>
        </w:rPr>
        <w:t xml:space="preserve"> </w:t>
      </w:r>
      <w:r w:rsidRPr="003E4F42">
        <w:rPr>
          <w:rFonts w:hint="eastAsia"/>
          <w:rtl/>
        </w:rPr>
        <w:t>עליו</w:t>
      </w:r>
      <w:r w:rsidRPr="003E4F42">
        <w:rPr>
          <w:rtl/>
        </w:rPr>
        <w:t xml:space="preserve">: </w:t>
      </w:r>
      <w:r w:rsidRPr="003E4F42">
        <w:rPr>
          <w:rFonts w:hint="eastAsia"/>
          <w:rtl/>
        </w:rPr>
        <w:t>אין</w:t>
      </w:r>
      <w:r w:rsidRPr="003E4F42">
        <w:rPr>
          <w:rtl/>
        </w:rPr>
        <w:t xml:space="preserve"> </w:t>
      </w:r>
      <w:r w:rsidRPr="003E4F42">
        <w:rPr>
          <w:rFonts w:hint="eastAsia"/>
          <w:rtl/>
        </w:rPr>
        <w:t>שום</w:t>
      </w:r>
      <w:r w:rsidRPr="003E4F42">
        <w:rPr>
          <w:rtl/>
        </w:rPr>
        <w:t xml:space="preserve"> </w:t>
      </w:r>
      <w:r w:rsidRPr="003E4F42">
        <w:rPr>
          <w:rFonts w:hint="eastAsia"/>
          <w:rtl/>
        </w:rPr>
        <w:t>מניעה</w:t>
      </w:r>
      <w:r w:rsidRPr="003E4F42">
        <w:rPr>
          <w:rtl/>
        </w:rPr>
        <w:t xml:space="preserve"> </w:t>
      </w:r>
      <w:r w:rsidRPr="003E4F42">
        <w:rPr>
          <w:rFonts w:hint="eastAsia"/>
          <w:rtl/>
        </w:rPr>
        <w:t>שתמשיך</w:t>
      </w:r>
      <w:r w:rsidRPr="003E4F42">
        <w:rPr>
          <w:rtl/>
        </w:rPr>
        <w:t xml:space="preserve"> </w:t>
      </w:r>
      <w:r w:rsidRPr="003E4F42">
        <w:rPr>
          <w:rFonts w:hint="eastAsia"/>
          <w:rtl/>
        </w:rPr>
        <w:t>להיות</w:t>
      </w:r>
      <w:r w:rsidRPr="003E4F42">
        <w:rPr>
          <w:rtl/>
        </w:rPr>
        <w:t xml:space="preserve"> </w:t>
      </w:r>
      <w:r w:rsidRPr="003E4F42">
        <w:rPr>
          <w:rFonts w:hint="eastAsia"/>
          <w:rtl/>
        </w:rPr>
        <w:t>חבר</w:t>
      </w:r>
      <w:r w:rsidRPr="003E4F42">
        <w:rPr>
          <w:rtl/>
        </w:rPr>
        <w:t xml:space="preserve"> </w:t>
      </w:r>
      <w:r w:rsidRPr="003E4F42">
        <w:rPr>
          <w:rFonts w:hint="eastAsia"/>
          <w:rtl/>
        </w:rPr>
        <w:t>בוועדה</w:t>
      </w:r>
      <w:r w:rsidRPr="003E4F42">
        <w:rPr>
          <w:rtl/>
        </w:rPr>
        <w:t xml:space="preserve"> </w:t>
      </w:r>
      <w:r w:rsidRPr="003E4F42">
        <w:rPr>
          <w:rFonts w:hint="eastAsia"/>
          <w:rtl/>
        </w:rPr>
        <w:t>הממונה</w:t>
      </w:r>
      <w:r w:rsidRPr="003E4F42">
        <w:rPr>
          <w:rtl/>
        </w:rPr>
        <w:t xml:space="preserve">, </w:t>
      </w:r>
      <w:r w:rsidRPr="003E4F42">
        <w:rPr>
          <w:rFonts w:hint="eastAsia"/>
          <w:rtl/>
        </w:rPr>
        <w:t>ובתנאי</w:t>
      </w:r>
      <w:r w:rsidRPr="003E4F42">
        <w:rPr>
          <w:rtl/>
        </w:rPr>
        <w:t xml:space="preserve"> </w:t>
      </w:r>
      <w:r w:rsidRPr="003E4F42">
        <w:rPr>
          <w:rFonts w:hint="eastAsia"/>
          <w:rtl/>
        </w:rPr>
        <w:t>שתפקיד</w:t>
      </w:r>
      <w:r w:rsidRPr="003E4F42">
        <w:rPr>
          <w:rtl/>
        </w:rPr>
        <w:t xml:space="preserve"> </w:t>
      </w:r>
      <w:r w:rsidRPr="003E4F42">
        <w:rPr>
          <w:rFonts w:hint="eastAsia"/>
          <w:rtl/>
        </w:rPr>
        <w:t>מכתב</w:t>
      </w:r>
      <w:r w:rsidRPr="003E4F42">
        <w:rPr>
          <w:rtl/>
        </w:rPr>
        <w:t xml:space="preserve"> </w:t>
      </w:r>
      <w:r w:rsidRPr="003E4F42">
        <w:rPr>
          <w:rFonts w:hint="eastAsia"/>
          <w:rtl/>
        </w:rPr>
        <w:t>לפיו</w:t>
      </w:r>
      <w:r w:rsidRPr="003E4F42">
        <w:rPr>
          <w:rtl/>
        </w:rPr>
        <w:t xml:space="preserve"> </w:t>
      </w:r>
      <w:r w:rsidRPr="003E4F42">
        <w:rPr>
          <w:rFonts w:hint="eastAsia"/>
          <w:rtl/>
        </w:rPr>
        <w:t>בבחירות</w:t>
      </w:r>
      <w:r w:rsidRPr="003E4F42">
        <w:rPr>
          <w:rtl/>
        </w:rPr>
        <w:t xml:space="preserve"> </w:t>
      </w:r>
      <w:r w:rsidRPr="003E4F42">
        <w:rPr>
          <w:rFonts w:hint="eastAsia"/>
          <w:rtl/>
        </w:rPr>
        <w:t>שלאחר</w:t>
      </w:r>
      <w:r w:rsidRPr="003E4F42">
        <w:rPr>
          <w:rtl/>
        </w:rPr>
        <w:t xml:space="preserve"> </w:t>
      </w:r>
      <w:r w:rsidRPr="003E4F42">
        <w:rPr>
          <w:rFonts w:hint="eastAsia"/>
          <w:rtl/>
        </w:rPr>
        <w:t>מכן</w:t>
      </w:r>
      <w:r w:rsidRPr="003E4F42">
        <w:rPr>
          <w:rtl/>
        </w:rPr>
        <w:t xml:space="preserve"> </w:t>
      </w:r>
      <w:r w:rsidRPr="003E4F42">
        <w:rPr>
          <w:rFonts w:hint="eastAsia"/>
          <w:rtl/>
        </w:rPr>
        <w:t>לא</w:t>
      </w:r>
      <w:r w:rsidRPr="003E4F42">
        <w:rPr>
          <w:rtl/>
        </w:rPr>
        <w:t xml:space="preserve"> </w:t>
      </w:r>
      <w:r w:rsidRPr="003E4F42">
        <w:rPr>
          <w:rFonts w:hint="eastAsia"/>
          <w:rtl/>
        </w:rPr>
        <w:t>תוכל</w:t>
      </w:r>
      <w:r w:rsidRPr="003E4F42">
        <w:rPr>
          <w:rtl/>
        </w:rPr>
        <w:t xml:space="preserve"> </w:t>
      </w:r>
      <w:r w:rsidRPr="003E4F42">
        <w:rPr>
          <w:rFonts w:hint="eastAsia"/>
          <w:rtl/>
        </w:rPr>
        <w:t>להתמודד</w:t>
      </w:r>
      <w:r w:rsidRPr="003E4F42">
        <w:rPr>
          <w:rtl/>
        </w:rPr>
        <w:t xml:space="preserve">. </w:t>
      </w:r>
      <w:r w:rsidRPr="003E4F42">
        <w:rPr>
          <w:rFonts w:hint="eastAsia"/>
          <w:rtl/>
        </w:rPr>
        <w:t>את</w:t>
      </w:r>
      <w:r w:rsidRPr="003E4F42">
        <w:rPr>
          <w:rtl/>
        </w:rPr>
        <w:t xml:space="preserve"> </w:t>
      </w:r>
      <w:r w:rsidRPr="003E4F42">
        <w:rPr>
          <w:rFonts w:hint="eastAsia"/>
          <w:rtl/>
        </w:rPr>
        <w:t>זה</w:t>
      </w:r>
      <w:r w:rsidRPr="003E4F42">
        <w:rPr>
          <w:rtl/>
        </w:rPr>
        <w:t xml:space="preserve"> </w:t>
      </w:r>
      <w:r w:rsidRPr="003E4F42">
        <w:rPr>
          <w:rFonts w:hint="eastAsia"/>
          <w:rtl/>
        </w:rPr>
        <w:t>אמרו</w:t>
      </w:r>
      <w:r w:rsidRPr="003E4F42">
        <w:rPr>
          <w:rtl/>
        </w:rPr>
        <w:t xml:space="preserve"> </w:t>
      </w:r>
      <w:r w:rsidRPr="003E4F42">
        <w:rPr>
          <w:rFonts w:hint="eastAsia"/>
          <w:rtl/>
        </w:rPr>
        <w:t>לי</w:t>
      </w:r>
      <w:r w:rsidRPr="003E4F42">
        <w:rPr>
          <w:rtl/>
        </w:rPr>
        <w:t xml:space="preserve"> </w:t>
      </w:r>
      <w:r w:rsidRPr="003E4F42">
        <w:rPr>
          <w:rFonts w:hint="eastAsia"/>
          <w:rtl/>
        </w:rPr>
        <w:t>שופטי</w:t>
      </w:r>
      <w:r w:rsidRPr="003E4F42">
        <w:rPr>
          <w:rtl/>
        </w:rPr>
        <w:t xml:space="preserve"> </w:t>
      </w:r>
      <w:r w:rsidRPr="003E4F42">
        <w:rPr>
          <w:rFonts w:hint="eastAsia"/>
          <w:rtl/>
        </w:rPr>
        <w:t>בג</w:t>
      </w:r>
      <w:r w:rsidRPr="003E4F42">
        <w:rPr>
          <w:rtl/>
        </w:rPr>
        <w:t>"</w:t>
      </w:r>
      <w:r w:rsidRPr="003E4F42">
        <w:rPr>
          <w:rFonts w:hint="eastAsia"/>
          <w:rtl/>
        </w:rPr>
        <w:t>ץ</w:t>
      </w:r>
      <w:r w:rsidRPr="003E4F42">
        <w:rPr>
          <w:rtl/>
        </w:rPr>
        <w:t xml:space="preserve">. </w:t>
      </w:r>
      <w:r w:rsidRPr="003E4F42">
        <w:rPr>
          <w:rFonts w:hint="eastAsia"/>
          <w:rtl/>
        </w:rPr>
        <w:t>עם</w:t>
      </w:r>
      <w:r w:rsidRPr="003E4F42">
        <w:rPr>
          <w:rtl/>
        </w:rPr>
        <w:t xml:space="preserve"> </w:t>
      </w:r>
      <w:r w:rsidRPr="003E4F42">
        <w:rPr>
          <w:rFonts w:hint="eastAsia"/>
          <w:rtl/>
        </w:rPr>
        <w:t>כל</w:t>
      </w:r>
      <w:r w:rsidRPr="003E4F42">
        <w:rPr>
          <w:rtl/>
        </w:rPr>
        <w:t xml:space="preserve"> </w:t>
      </w:r>
      <w:r w:rsidRPr="003E4F42">
        <w:rPr>
          <w:rFonts w:hint="eastAsia"/>
          <w:rtl/>
        </w:rPr>
        <w:t>הכבוד</w:t>
      </w:r>
      <w:r w:rsidRPr="003E4F42">
        <w:rPr>
          <w:rtl/>
        </w:rPr>
        <w:t xml:space="preserve">, </w:t>
      </w:r>
      <w:r w:rsidRPr="003E4F42">
        <w:rPr>
          <w:rFonts w:hint="eastAsia"/>
          <w:rtl/>
        </w:rPr>
        <w:t>הכלל</w:t>
      </w:r>
      <w:r w:rsidRPr="003E4F42">
        <w:rPr>
          <w:rtl/>
        </w:rPr>
        <w:t xml:space="preserve"> </w:t>
      </w:r>
      <w:r w:rsidRPr="003E4F42">
        <w:rPr>
          <w:rFonts w:hint="eastAsia"/>
          <w:rtl/>
        </w:rPr>
        <w:t>הזה</w:t>
      </w:r>
      <w:r w:rsidRPr="003E4F42">
        <w:rPr>
          <w:rtl/>
        </w:rPr>
        <w:t xml:space="preserve"> </w:t>
      </w:r>
      <w:r w:rsidRPr="003E4F42">
        <w:rPr>
          <w:rFonts w:hint="eastAsia"/>
          <w:rtl/>
        </w:rPr>
        <w:t>צריך</w:t>
      </w:r>
      <w:r w:rsidRPr="003E4F42">
        <w:rPr>
          <w:rtl/>
        </w:rPr>
        <w:t xml:space="preserve"> </w:t>
      </w:r>
      <w:r w:rsidRPr="003E4F42">
        <w:rPr>
          <w:rFonts w:hint="eastAsia"/>
          <w:rtl/>
        </w:rPr>
        <w:t>לחול</w:t>
      </w:r>
      <w:r w:rsidRPr="003E4F42">
        <w:rPr>
          <w:rtl/>
        </w:rPr>
        <w:t xml:space="preserve"> </w:t>
      </w:r>
      <w:r w:rsidRPr="003E4F42">
        <w:rPr>
          <w:rFonts w:hint="eastAsia"/>
          <w:rtl/>
        </w:rPr>
        <w:t>גם</w:t>
      </w:r>
      <w:r w:rsidRPr="003E4F42">
        <w:rPr>
          <w:rtl/>
        </w:rPr>
        <w:t xml:space="preserve"> </w:t>
      </w:r>
      <w:r w:rsidRPr="003E4F42">
        <w:rPr>
          <w:rFonts w:hint="eastAsia"/>
          <w:rtl/>
        </w:rPr>
        <w:t>בחוק</w:t>
      </w:r>
      <w:r w:rsidRPr="003E4F42">
        <w:rPr>
          <w:rtl/>
        </w:rPr>
        <w:t xml:space="preserve"> </w:t>
      </w:r>
      <w:r w:rsidRPr="003E4F42">
        <w:rPr>
          <w:rFonts w:hint="eastAsia"/>
          <w:rtl/>
        </w:rPr>
        <w:t>מסודר</w:t>
      </w:r>
      <w:r w:rsidRPr="003E4F42">
        <w:rPr>
          <w:rtl/>
        </w:rPr>
        <w:t xml:space="preserve"> </w:t>
      </w:r>
      <w:r w:rsidRPr="003E4F42">
        <w:rPr>
          <w:rFonts w:hint="eastAsia"/>
          <w:rtl/>
        </w:rPr>
        <w:t>של</w:t>
      </w:r>
      <w:r w:rsidRPr="003E4F42">
        <w:rPr>
          <w:rtl/>
        </w:rPr>
        <w:t xml:space="preserve"> </w:t>
      </w:r>
      <w:r w:rsidRPr="003E4F42">
        <w:rPr>
          <w:rFonts w:hint="eastAsia"/>
          <w:rtl/>
        </w:rPr>
        <w:t>כנסת</w:t>
      </w:r>
      <w:r w:rsidRPr="003E4F42">
        <w:rPr>
          <w:rtl/>
        </w:rPr>
        <w:t xml:space="preserve"> </w:t>
      </w:r>
      <w:r w:rsidRPr="003E4F42">
        <w:rPr>
          <w:rFonts w:hint="eastAsia"/>
          <w:rtl/>
        </w:rPr>
        <w:t>ישראל</w:t>
      </w:r>
      <w:r w:rsidRPr="003E4F42">
        <w:rPr>
          <w:rFonts w:hint="cs"/>
          <w:rtl/>
        </w:rPr>
        <w:t>" (שם).</w:t>
      </w:r>
    </w:p>
    <w:p w:rsidR="001E6B43" w:rsidRPr="003E4F42" w:rsidRDefault="001E6B43" w:rsidP="001E6B43">
      <w:pPr>
        <w:pStyle w:val="Ruller4"/>
        <w:numPr>
          <w:ilvl w:val="0"/>
          <w:numId w:val="0"/>
        </w:numPr>
        <w:rPr>
          <w:rtl/>
        </w:rPr>
      </w:pPr>
    </w:p>
    <w:p w:rsidR="001E6B43" w:rsidRPr="003E4F42" w:rsidRDefault="001E6B43" w:rsidP="001E6B43">
      <w:pPr>
        <w:pStyle w:val="Ruller41"/>
        <w:rPr>
          <w:rtl/>
        </w:rPr>
      </w:pPr>
      <w:r w:rsidRPr="003E4F42">
        <w:rPr>
          <w:rtl/>
        </w:rPr>
        <w:tab/>
      </w:r>
      <w:r w:rsidRPr="003E4F42">
        <w:rPr>
          <w:rFonts w:hint="cs"/>
          <w:rtl/>
        </w:rPr>
        <w:t>זאת ועוד, דברים ברוח זו הוצגו גם לפני חברי הכנסת במסגרת הליך חקיקת תיקון מס' 53. כך, ציין חבר מועצת העיר טבריה בדיון ועדת הפנים בהכנת הצעת החוק לקריאה שניה ושלישית:</w:t>
      </w:r>
    </w:p>
    <w:p w:rsidR="001E6B43" w:rsidRPr="003E4F42" w:rsidRDefault="001E6B43" w:rsidP="001E6B43">
      <w:pPr>
        <w:pStyle w:val="Ruller41"/>
        <w:rPr>
          <w:rtl/>
        </w:rPr>
      </w:pPr>
    </w:p>
    <w:p w:rsidR="001E6B43" w:rsidRPr="003E4F42" w:rsidRDefault="001E6B43" w:rsidP="001E6B43">
      <w:pPr>
        <w:pStyle w:val="Ruller5"/>
      </w:pPr>
      <w:r w:rsidRPr="003E4F42">
        <w:rPr>
          <w:rFonts w:hint="cs"/>
          <w:rtl/>
        </w:rPr>
        <w:t>"</w:t>
      </w:r>
      <w:r w:rsidRPr="003E4F42">
        <w:rPr>
          <w:rFonts w:hint="cs"/>
          <w:rtl/>
          <w:lang w:eastAsia="he-IL"/>
        </w:rPr>
        <w:t>מדינת ישראל חיה כ-50 שנה בלי שצריך היה את ה</w:t>
      </w:r>
      <w:bookmarkStart w:id="6" w:name="_ETM_Q1_6477658"/>
      <w:bookmarkStart w:id="7" w:name="_ETM_Q1_6475621"/>
      <w:bookmarkEnd w:id="6"/>
      <w:bookmarkEnd w:id="7"/>
      <w:r w:rsidRPr="003E4F42">
        <w:rPr>
          <w:rFonts w:hint="cs"/>
          <w:rtl/>
          <w:lang w:eastAsia="he-IL"/>
        </w:rPr>
        <w:t xml:space="preserve">תיקון הזה, ואז </w:t>
      </w:r>
      <w:bookmarkStart w:id="8" w:name="_ETM_Q1_6478275"/>
      <w:bookmarkEnd w:id="8"/>
      <w:r w:rsidRPr="003E4F42">
        <w:rPr>
          <w:rFonts w:hint="cs"/>
          <w:rtl/>
          <w:lang w:eastAsia="he-IL"/>
        </w:rPr>
        <w:t xml:space="preserve">הגיעה ההצעה של אופיר פינס, וגם </w:t>
      </w:r>
      <w:bookmarkStart w:id="9" w:name="_ETM_Q1_6482567"/>
      <w:bookmarkStart w:id="10" w:name="_ETM_Q1_6482814"/>
      <w:bookmarkStart w:id="11" w:name="_ETM_Q1_6478234"/>
      <w:bookmarkStart w:id="12" w:name="_ETM_Q1_6482728"/>
      <w:bookmarkEnd w:id="9"/>
      <w:bookmarkEnd w:id="10"/>
      <w:bookmarkEnd w:id="11"/>
      <w:bookmarkEnd w:id="12"/>
      <w:r w:rsidRPr="003E4F42">
        <w:rPr>
          <w:rFonts w:hint="cs"/>
          <w:rtl/>
          <w:lang w:eastAsia="he-IL"/>
        </w:rPr>
        <w:t xml:space="preserve">לזה לקח </w:t>
      </w:r>
      <w:bookmarkStart w:id="13" w:name="_ETM_Q1_6483388"/>
      <w:bookmarkEnd w:id="13"/>
      <w:r w:rsidRPr="003E4F42">
        <w:rPr>
          <w:rFonts w:hint="cs"/>
          <w:rtl/>
          <w:lang w:eastAsia="he-IL"/>
        </w:rPr>
        <w:t xml:space="preserve">כעשר שנים, עד שיורם </w:t>
      </w:r>
      <w:bookmarkStart w:id="14" w:name="_ETM_Q1_6487815"/>
      <w:bookmarkStart w:id="15" w:name="_ETM_Q1_6483536"/>
      <w:bookmarkEnd w:id="14"/>
      <w:bookmarkEnd w:id="15"/>
      <w:r w:rsidRPr="003E4F42">
        <w:rPr>
          <w:rFonts w:hint="cs"/>
          <w:rtl/>
          <w:lang w:eastAsia="he-IL"/>
        </w:rPr>
        <w:t xml:space="preserve">מרציאנו הוביל את התיקון. הלכתי ובדקתי, וב-1999, </w:t>
      </w:r>
      <w:bookmarkStart w:id="16" w:name="_ETM_Q1_6490130"/>
      <w:bookmarkEnd w:id="16"/>
      <w:r w:rsidRPr="003E4F42">
        <w:rPr>
          <w:rFonts w:hint="cs"/>
          <w:rtl/>
          <w:lang w:eastAsia="he-IL"/>
        </w:rPr>
        <w:t xml:space="preserve">כשזה הוצע לראשונה, </w:t>
      </w:r>
      <w:bookmarkStart w:id="17" w:name="_ETM_Q1_6493212"/>
      <w:bookmarkEnd w:id="17"/>
      <w:r w:rsidRPr="003E4F42">
        <w:rPr>
          <w:rFonts w:hint="cs"/>
          <w:rtl/>
          <w:lang w:eastAsia="he-IL"/>
        </w:rPr>
        <w:t xml:space="preserve">ההתייחסות הייתה מאוד פשוטה: </w:t>
      </w:r>
      <w:bookmarkStart w:id="18" w:name="_ETM_Q1_6494619"/>
      <w:bookmarkEnd w:id="18"/>
      <w:r w:rsidRPr="003E4F42">
        <w:rPr>
          <w:rFonts w:ascii="Century" w:hAnsi="Century" w:cs="Miriam" w:hint="cs"/>
          <w:b/>
          <w:spacing w:val="0"/>
          <w:szCs w:val="24"/>
          <w:rtl/>
          <w:lang w:eastAsia="he-IL"/>
        </w:rPr>
        <w:t>לא היה צרי</w:t>
      </w:r>
      <w:bookmarkStart w:id="19" w:name="_ETM_Q1_6494268"/>
      <w:bookmarkEnd w:id="19"/>
      <w:r w:rsidRPr="003E4F42">
        <w:rPr>
          <w:rFonts w:ascii="Century" w:hAnsi="Century" w:cs="Miriam" w:hint="cs"/>
          <w:b/>
          <w:spacing w:val="0"/>
          <w:szCs w:val="24"/>
          <w:rtl/>
          <w:lang w:eastAsia="he-IL"/>
        </w:rPr>
        <w:t xml:space="preserve">ך לסגור </w:t>
      </w:r>
      <w:bookmarkStart w:id="20" w:name="_ETM_Q1_6495682"/>
      <w:bookmarkEnd w:id="20"/>
      <w:r w:rsidRPr="003E4F42">
        <w:rPr>
          <w:rFonts w:ascii="Century" w:hAnsi="Century" w:cs="Miriam" w:hint="cs"/>
          <w:b/>
          <w:spacing w:val="0"/>
          <w:szCs w:val="24"/>
          <w:rtl/>
          <w:lang w:eastAsia="he-IL"/>
        </w:rPr>
        <w:t xml:space="preserve">את הפרצה שיש, כי </w:t>
      </w:r>
      <w:bookmarkStart w:id="21" w:name="_ETM_Q1_6496627"/>
      <w:bookmarkStart w:id="22" w:name="_ETM_Q1_6494007"/>
      <w:bookmarkStart w:id="23" w:name="_ETM_Q1_6495689"/>
      <w:bookmarkEnd w:id="21"/>
      <w:bookmarkEnd w:id="22"/>
      <w:bookmarkEnd w:id="23"/>
      <w:r w:rsidRPr="003E4F42">
        <w:rPr>
          <w:rFonts w:ascii="Century" w:hAnsi="Century" w:cs="Miriam" w:hint="cs"/>
          <w:b/>
          <w:spacing w:val="0"/>
          <w:szCs w:val="24"/>
          <w:rtl/>
          <w:lang w:eastAsia="he-IL"/>
        </w:rPr>
        <w:t xml:space="preserve">היא לא </w:t>
      </w:r>
      <w:bookmarkStart w:id="24" w:name="_ETM_Q1_6496223"/>
      <w:bookmarkEnd w:id="24"/>
      <w:r w:rsidRPr="003E4F42">
        <w:rPr>
          <w:rFonts w:ascii="Century" w:hAnsi="Century" w:cs="Miriam" w:hint="cs"/>
          <w:b/>
          <w:spacing w:val="0"/>
          <w:szCs w:val="24"/>
          <w:rtl/>
          <w:lang w:eastAsia="he-IL"/>
        </w:rPr>
        <w:t xml:space="preserve">באמת הייתה פרצה. </w:t>
      </w:r>
      <w:bookmarkStart w:id="25" w:name="_ETM_Q1_6500726"/>
      <w:bookmarkEnd w:id="25"/>
      <w:r w:rsidRPr="003E4F42">
        <w:rPr>
          <w:rFonts w:hint="cs"/>
          <w:rtl/>
          <w:lang w:eastAsia="he-IL"/>
        </w:rPr>
        <w:t xml:space="preserve">באותן </w:t>
      </w:r>
      <w:bookmarkStart w:id="26" w:name="_ETM_Q1_6503659"/>
      <w:bookmarkEnd w:id="26"/>
      <w:r w:rsidRPr="003E4F42">
        <w:rPr>
          <w:rFonts w:hint="cs"/>
          <w:rtl/>
          <w:lang w:eastAsia="he-IL"/>
        </w:rPr>
        <w:t xml:space="preserve">50 שנים </w:t>
      </w:r>
      <w:bookmarkStart w:id="27" w:name="_ETM_Q1_6500472"/>
      <w:bookmarkEnd w:id="27"/>
      <w:r w:rsidRPr="003E4F42">
        <w:rPr>
          <w:rFonts w:hint="cs"/>
          <w:rtl/>
          <w:lang w:eastAsia="he-IL"/>
        </w:rPr>
        <w:t>היו עשרות ועדות קרואות, בערים ש</w:t>
      </w:r>
      <w:bookmarkStart w:id="28" w:name="_ETM_Q1_6503434"/>
      <w:bookmarkEnd w:id="28"/>
      <w:r w:rsidRPr="003E4F42">
        <w:rPr>
          <w:rFonts w:hint="cs"/>
          <w:rtl/>
          <w:lang w:eastAsia="he-IL"/>
        </w:rPr>
        <w:t xml:space="preserve">כולנו מכירים: באר </w:t>
      </w:r>
      <w:bookmarkStart w:id="29" w:name="_ETM_Q1_6506534"/>
      <w:bookmarkEnd w:id="29"/>
      <w:r w:rsidRPr="003E4F42">
        <w:rPr>
          <w:rFonts w:hint="cs"/>
          <w:rtl/>
          <w:lang w:eastAsia="he-IL"/>
        </w:rPr>
        <w:t xml:space="preserve">שבע, הרצליה, נתניה, אשקלון, </w:t>
      </w:r>
      <w:bookmarkStart w:id="30" w:name="_ETM_Q1_6506272"/>
      <w:bookmarkEnd w:id="30"/>
      <w:r w:rsidRPr="003E4F42">
        <w:rPr>
          <w:rFonts w:hint="cs"/>
          <w:rtl/>
          <w:lang w:eastAsia="he-IL"/>
        </w:rPr>
        <w:t xml:space="preserve">ואפילו ירושלים. הוועדה </w:t>
      </w:r>
      <w:bookmarkStart w:id="31" w:name="_ETM_Q1_6507883"/>
      <w:bookmarkEnd w:id="31"/>
      <w:r w:rsidRPr="003E4F42">
        <w:rPr>
          <w:rFonts w:hint="cs"/>
          <w:rtl/>
          <w:lang w:eastAsia="he-IL"/>
        </w:rPr>
        <w:t xml:space="preserve">הממונה שהתמנתה הייתה </w:t>
      </w:r>
      <w:bookmarkStart w:id="32" w:name="_ETM_Q1_6511720"/>
      <w:bookmarkEnd w:id="32"/>
      <w:r w:rsidRPr="003E4F42">
        <w:rPr>
          <w:rFonts w:hint="cs"/>
          <w:rtl/>
          <w:lang w:eastAsia="he-IL"/>
        </w:rPr>
        <w:t xml:space="preserve">של אנשים חיצוניים, שמגיעים </w:t>
      </w:r>
      <w:bookmarkStart w:id="33" w:name="_ETM_Q1_6510855"/>
      <w:bookmarkEnd w:id="33"/>
      <w:r w:rsidRPr="003E4F42">
        <w:rPr>
          <w:rFonts w:hint="cs"/>
          <w:rtl/>
          <w:lang w:eastAsia="he-IL"/>
        </w:rPr>
        <w:t xml:space="preserve">מחוץ לעיר. בטח שלא תושבי הרשות, </w:t>
      </w:r>
      <w:bookmarkStart w:id="34" w:name="_ETM_Q1_6517184"/>
      <w:bookmarkEnd w:id="34"/>
      <w:r w:rsidRPr="003E4F42">
        <w:rPr>
          <w:rFonts w:hint="cs"/>
          <w:rtl/>
          <w:lang w:eastAsia="he-IL"/>
        </w:rPr>
        <w:t>ובטח</w:t>
      </w:r>
      <w:bookmarkStart w:id="35" w:name="_ETM_Q1_6513138"/>
      <w:bookmarkEnd w:id="35"/>
      <w:r w:rsidRPr="003E4F42">
        <w:rPr>
          <w:rFonts w:hint="cs"/>
          <w:rtl/>
          <w:lang w:eastAsia="he-IL"/>
        </w:rPr>
        <w:t xml:space="preserve"> שלא כאלה שעתידים להתמודד על המקום.</w:t>
      </w:r>
      <w:bookmarkStart w:id="36" w:name="_ETM_Q1_6517344"/>
      <w:bookmarkEnd w:id="36"/>
      <w:r w:rsidRPr="003E4F42">
        <w:rPr>
          <w:rFonts w:hint="cs"/>
          <w:rtl/>
          <w:lang w:eastAsia="he-IL"/>
        </w:rPr>
        <w:t xml:space="preserve"> הם היו </w:t>
      </w:r>
      <w:bookmarkStart w:id="37" w:name="_ETM_Q1_6522113"/>
      <w:bookmarkStart w:id="38" w:name="_ETM_Q1_6518247"/>
      <w:bookmarkStart w:id="39" w:name="_ETM_Q1_6515438"/>
      <w:bookmarkEnd w:id="37"/>
      <w:bookmarkEnd w:id="38"/>
      <w:bookmarkEnd w:id="39"/>
      <w:r w:rsidRPr="003E4F42">
        <w:rPr>
          <w:rFonts w:hint="cs"/>
          <w:rtl/>
          <w:lang w:eastAsia="he-IL"/>
        </w:rPr>
        <w:t xml:space="preserve">בעלי ניסיון: חלקם היו ראשי עיר לשעבר במקומות </w:t>
      </w:r>
      <w:bookmarkStart w:id="40" w:name="_ETM_Q1_6526269"/>
      <w:bookmarkStart w:id="41" w:name="_ETM_Q1_6521772"/>
      <w:bookmarkEnd w:id="40"/>
      <w:bookmarkEnd w:id="41"/>
      <w:r w:rsidRPr="003E4F42">
        <w:rPr>
          <w:rFonts w:hint="cs"/>
          <w:rtl/>
          <w:lang w:eastAsia="he-IL"/>
        </w:rPr>
        <w:t>אחרים</w:t>
      </w:r>
      <w:bookmarkStart w:id="42" w:name="_ETM_Q1_6524069"/>
      <w:bookmarkEnd w:id="42"/>
      <w:r w:rsidRPr="003E4F42">
        <w:rPr>
          <w:rFonts w:hint="cs"/>
          <w:rtl/>
          <w:lang w:eastAsia="he-IL"/>
        </w:rPr>
        <w:t xml:space="preserve">, וחלקם היו בכירים </w:t>
      </w:r>
      <w:bookmarkStart w:id="43" w:name="_ETM_Q1_6523290"/>
      <w:bookmarkEnd w:id="43"/>
      <w:r w:rsidRPr="003E4F42">
        <w:rPr>
          <w:rFonts w:hint="cs"/>
          <w:rtl/>
          <w:lang w:eastAsia="he-IL"/>
        </w:rPr>
        <w:t xml:space="preserve">במשרדים ממשלתיים, ולא </w:t>
      </w:r>
      <w:bookmarkStart w:id="44" w:name="_ETM_Q1_6523720"/>
      <w:bookmarkEnd w:id="44"/>
      <w:r w:rsidRPr="003E4F42">
        <w:rPr>
          <w:rFonts w:hint="cs"/>
          <w:rtl/>
          <w:lang w:eastAsia="he-IL"/>
        </w:rPr>
        <w:t xml:space="preserve">היה צורך לתקן </w:t>
      </w:r>
      <w:bookmarkStart w:id="45" w:name="_ETM_Q1_6525563"/>
      <w:bookmarkEnd w:id="45"/>
      <w:r w:rsidRPr="003E4F42">
        <w:rPr>
          <w:rFonts w:hint="cs"/>
          <w:rtl/>
          <w:lang w:eastAsia="he-IL"/>
        </w:rPr>
        <w:t xml:space="preserve">את הפרצה, כי אף אחד לא העלה </w:t>
      </w:r>
      <w:bookmarkStart w:id="46" w:name="_ETM_Q1_6526968"/>
      <w:bookmarkEnd w:id="46"/>
      <w:r w:rsidRPr="003E4F42">
        <w:rPr>
          <w:rFonts w:hint="cs"/>
          <w:rtl/>
          <w:lang w:eastAsia="he-IL"/>
        </w:rPr>
        <w:t>בדעתו שמא יתמודד</w:t>
      </w:r>
      <w:bookmarkStart w:id="47" w:name="_ETM_Q1_6527792"/>
      <w:bookmarkEnd w:id="47"/>
      <w:r w:rsidRPr="003E4F42">
        <w:rPr>
          <w:rFonts w:hint="cs"/>
          <w:rtl/>
          <w:lang w:eastAsia="he-IL"/>
        </w:rPr>
        <w:t>ו</w:t>
      </w:r>
      <w:r w:rsidRPr="003E4F42">
        <w:rPr>
          <w:rFonts w:hint="cs"/>
          <w:rtl/>
        </w:rPr>
        <w:t xml:space="preserve">" (פרוטוקול הישיבה מיום 29.6.2023, בעמ' 37-36; ההדגשה הוספה </w:t>
      </w:r>
      <w:r w:rsidRPr="003E4F42">
        <w:rPr>
          <w:rtl/>
        </w:rPr>
        <w:t>–</w:t>
      </w:r>
      <w:r w:rsidRPr="003E4F42">
        <w:rPr>
          <w:rFonts w:hint="cs"/>
          <w:rtl/>
        </w:rPr>
        <w:t xml:space="preserve"> ע' פ').</w:t>
      </w:r>
    </w:p>
    <w:p w:rsidR="001E6B43" w:rsidRPr="003E4F42" w:rsidRDefault="001E6B43" w:rsidP="001E6B43">
      <w:pPr>
        <w:pStyle w:val="Ruller41"/>
        <w:rPr>
          <w:rtl/>
        </w:rPr>
      </w:pPr>
    </w:p>
    <w:p w:rsidR="001E6B43" w:rsidRPr="003E4F42" w:rsidRDefault="001E6B43" w:rsidP="001E6B43">
      <w:pPr>
        <w:pStyle w:val="Ruller4"/>
      </w:pPr>
      <w:r w:rsidRPr="003E4F42">
        <w:rPr>
          <w:rtl/>
        </w:rPr>
        <w:tab/>
      </w:r>
      <w:r w:rsidRPr="003E4F42">
        <w:rPr>
          <w:rFonts w:hint="cs"/>
          <w:rtl/>
        </w:rPr>
        <w:t xml:space="preserve">לצד האמור יוער כי מהחומרים שלפנינו עולה כי עד לתיקון מס' 39 אכן היו מקרים בודדים שבהם התמודדו יושבי ראש ועדה ממונה בבחירות לראשות הרשות המקומית שעליה הופקדו (כעולה מתצהיר התשובה של בועז יוסף, שלושה מקרים; שם, סעיף 33). הנה כי כן, בשונה מהעולה בטענות שלפנינו, דומה שהמצב המשפטי ערב תיקון מס' 39 אינו </w:t>
      </w:r>
      <w:r w:rsidRPr="003E4F42">
        <w:rPr>
          <w:rFonts w:ascii="Century" w:hAnsi="Century" w:cs="Miriam" w:hint="cs"/>
          <w:b/>
          <w:spacing w:val="0"/>
          <w:sz w:val="22"/>
          <w:szCs w:val="24"/>
          <w:rtl/>
        </w:rPr>
        <w:t>זהה</w:t>
      </w:r>
      <w:r w:rsidRPr="003E4F42">
        <w:rPr>
          <w:rFonts w:hint="cs"/>
          <w:rtl/>
        </w:rPr>
        <w:t xml:space="preserve"> למצב כיום. מבלי לטעת מסמרות בהיקפה המדויק של התופעה (בפרט מאחר שלא הובאה התייחסות מפורטת ומפורשת מטעם משרד הפנים בהקשר זה), דומה שעובר לתיקון מס' 39 התמודדותו של יושב ראש ועדה ממונה בבחירות הייתה בבחינת חריג ולא בבחינת כלל. המצב שאותו מבקש תיקון מס' 53 להטמיע בשטח מעלה על נס </w:t>
      </w:r>
      <w:r w:rsidRPr="003E4F42">
        <w:rPr>
          <w:rFonts w:ascii="Century" w:hAnsi="Century" w:cs="Miriam" w:hint="cs"/>
          <w:b/>
          <w:spacing w:val="0"/>
          <w:sz w:val="22"/>
          <w:szCs w:val="24"/>
          <w:rtl/>
        </w:rPr>
        <w:t xml:space="preserve">את זכותם </w:t>
      </w:r>
      <w:r w:rsidRPr="003E4F42">
        <w:rPr>
          <w:rFonts w:ascii="Century" w:hAnsi="Century" w:hint="cs"/>
          <w:sz w:val="22"/>
          <w:rtl/>
        </w:rPr>
        <w:t xml:space="preserve">של ראשי ועדות ממונות להיבחר ברשות המקומית שעליה הופקדו. משכך, דומני כי אין די בטענה כי תיקון מס' 53 "משיב את המצב לקדמותו" כדי לקבוע כי תיקון מס' 53 הוא חוקתי. בשולי הדברים ובמאמר מוסגר </w:t>
      </w:r>
      <w:r w:rsidRPr="003E4F42">
        <w:rPr>
          <w:rFonts w:hint="cs"/>
          <w:rtl/>
        </w:rPr>
        <w:t xml:space="preserve">יצוין כי לא נטען לפנינו כי חוקתיות ההסדר שקדם לתיקון מס' 39 (ואפשרותם של חברי ויושבי ראש ועדה ממונה להתמודד בבחירות) הועלתה במישרין ונבחנה בבית משפט זה. </w:t>
      </w:r>
    </w:p>
    <w:p w:rsidR="001E6B43" w:rsidRPr="003E4F42" w:rsidRDefault="001E6B43" w:rsidP="001E6B43">
      <w:pPr>
        <w:pStyle w:val="Ruller4"/>
        <w:numPr>
          <w:ilvl w:val="0"/>
          <w:numId w:val="0"/>
        </w:numPr>
      </w:pPr>
    </w:p>
    <w:p w:rsidR="001E6B43" w:rsidRPr="003E4F42" w:rsidRDefault="001E6B43" w:rsidP="001E6B43">
      <w:pPr>
        <w:pStyle w:val="Ruller4"/>
      </w:pPr>
      <w:r w:rsidRPr="003E4F42">
        <w:rPr>
          <w:rFonts w:hint="cs"/>
          <w:rtl/>
        </w:rPr>
        <w:t xml:space="preserve">טענה משמעותית יותר שהובאה (בתצורות שונות) הן בטענות הכנסת, הן בטענות בועז יוסף, היא כי הזכות לבחור ולהיבחר, כמו גם הזכות לשוויון בבחירות ועקרון האוטונומיה של השלטון המקומי </w:t>
      </w:r>
      <w:r w:rsidRPr="003E4F42">
        <w:rPr>
          <w:rtl/>
        </w:rPr>
        <w:t>–</w:t>
      </w:r>
      <w:r w:rsidRPr="003E4F42">
        <w:rPr>
          <w:rFonts w:hint="cs"/>
          <w:rtl/>
        </w:rPr>
        <w:t xml:space="preserve"> כולם </w:t>
      </w:r>
      <w:r w:rsidRPr="003E4F42">
        <w:rPr>
          <w:rtl/>
        </w:rPr>
        <w:t>–</w:t>
      </w:r>
      <w:r w:rsidRPr="003E4F42">
        <w:rPr>
          <w:rFonts w:hint="cs"/>
          <w:rtl/>
        </w:rPr>
        <w:t xml:space="preserve"> אינם מעוגנים בחוק יסוד (ובמשתמע גם אינם נגזרים מחוקי היסוד הקיימים). משכך, אין פגיעות אלו חוצות את השלב הראשון של הבחינה החוקתית. לכך הוסיפו וטענו כי עקרון השוויון בבחירות המקומיות </w:t>
      </w:r>
      <w:r w:rsidRPr="003E4F42">
        <w:rPr>
          <w:rtl/>
        </w:rPr>
        <w:t>–</w:t>
      </w:r>
      <w:r w:rsidRPr="003E4F42">
        <w:rPr>
          <w:rFonts w:hint="cs"/>
          <w:rtl/>
        </w:rPr>
        <w:t xml:space="preserve"> בניגוד לעקרון השוויון בבחירות לכנסת </w:t>
      </w:r>
      <w:r w:rsidRPr="003E4F42">
        <w:rPr>
          <w:rtl/>
        </w:rPr>
        <w:t>–</w:t>
      </w:r>
      <w:r w:rsidRPr="003E4F42">
        <w:rPr>
          <w:rFonts w:hint="cs"/>
          <w:rtl/>
        </w:rPr>
        <w:t xml:space="preserve"> מעוגן בחוק בלבד (השוו בין סעיף 4 לחוק-יסוד: הכנסת לבין סעיף 2 לחוק הבחירות) ולכן אין מקום להידרש לטענות חוקתיות שמכוונת </w:t>
      </w:r>
      <w:r w:rsidRPr="003E4F42">
        <w:rPr>
          <w:rFonts w:hint="cs"/>
          <w:rtl/>
        </w:rPr>
        <w:lastRenderedPageBreak/>
        <w:t xml:space="preserve">לפגיעה בו. טענות אלו כבדות משקל הן, ואולם, כפי שאפרט להלן, איני סבור כי הן מחייבות </w:t>
      </w:r>
      <w:r w:rsidRPr="003E4F42">
        <w:rPr>
          <w:rtl/>
        </w:rPr>
        <w:t>–</w:t>
      </w:r>
      <w:r w:rsidRPr="003E4F42">
        <w:rPr>
          <w:rFonts w:hint="cs"/>
          <w:rtl/>
        </w:rPr>
        <w:t xml:space="preserve"> בנקודת הזמן הנוכחית </w:t>
      </w:r>
      <w:r w:rsidRPr="003E4F42">
        <w:rPr>
          <w:rtl/>
        </w:rPr>
        <w:t>–</w:t>
      </w:r>
      <w:r w:rsidRPr="003E4F42">
        <w:rPr>
          <w:rFonts w:hint="cs"/>
          <w:rtl/>
        </w:rPr>
        <w:t xml:space="preserve"> את הכרעתנו. </w:t>
      </w:r>
    </w:p>
    <w:p w:rsidR="001E6B43" w:rsidRPr="003E4F42" w:rsidRDefault="001E6B43" w:rsidP="001E6B43">
      <w:pPr>
        <w:pStyle w:val="Ruller4"/>
        <w:numPr>
          <w:ilvl w:val="0"/>
          <w:numId w:val="0"/>
        </w:numPr>
        <w:rPr>
          <w:rtl/>
        </w:rPr>
      </w:pPr>
    </w:p>
    <w:p w:rsidR="001E6B43" w:rsidRPr="003E4F42" w:rsidRDefault="001E6B43" w:rsidP="001E6B43">
      <w:pPr>
        <w:pStyle w:val="1"/>
        <w:rPr>
          <w:rtl/>
        </w:rPr>
      </w:pPr>
      <w:r w:rsidRPr="003E4F42">
        <w:rPr>
          <w:rFonts w:hint="cs"/>
          <w:rtl/>
        </w:rPr>
        <w:t>היש הכרח בהכרעה בחוקתיות התיקון?</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כאמור, שאלת חוקתיותו של תיקון מס' 53 מחייבת הכרעות משפטיות בשאלות כבדות משקל. בראשן של שאלות אלו ניצבת שאלת משמעות פגיעת התיקון בזכות לבחור ולהיבחר ובשוויון בין המועמדים בבחירות לרשויות המקומיות, בהינתן שכאמור, טרם הוכרעה השאלה אם זכויות אלו באות בגדר המונח "כבוד האדם" ונגזרות מחוק-יסוד: כבוד האדם וחירותו. ואולם, בנקודת הזמן הנוכחית איני סבור שעלינו להידרש לשאלות אלו, מאחר שחלק ניכר מהקשיים שמעורר התיקון יכול לבוא על פתרונו בכלים שאינם חוקתיים </w:t>
      </w:r>
      <w:r w:rsidRPr="003E4F42">
        <w:rPr>
          <w:rtl/>
        </w:rPr>
        <w:t>–</w:t>
      </w:r>
      <w:r w:rsidRPr="003E4F42">
        <w:rPr>
          <w:rFonts w:hint="cs"/>
          <w:rtl/>
        </w:rPr>
        <w:t xml:space="preserve"> אלא בכללי הפרשנות המקובלים (ראו והשוו לפסק הדין של השופטת </w:t>
      </w:r>
      <w:r w:rsidRPr="003E4F42">
        <w:rPr>
          <w:rFonts w:ascii="Century" w:hAnsi="Century" w:cs="Miriam" w:hint="cs"/>
          <w:b/>
          <w:spacing w:val="0"/>
          <w:sz w:val="22"/>
          <w:szCs w:val="24"/>
          <w:rtl/>
        </w:rPr>
        <w:t xml:space="preserve">ד' דורנר </w:t>
      </w:r>
      <w:r w:rsidRPr="003E4F42">
        <w:rPr>
          <w:rFonts w:ascii="Century" w:hAnsi="Century" w:hint="cs"/>
          <w:sz w:val="22"/>
          <w:rtl/>
        </w:rPr>
        <w:t xml:space="preserve">בבג"ץ 4128/02 </w:t>
      </w:r>
      <w:r w:rsidRPr="003E4F42">
        <w:rPr>
          <w:rFonts w:ascii="Century" w:hAnsi="Century" w:cs="Miriam" w:hint="cs"/>
          <w:b/>
          <w:spacing w:val="0"/>
          <w:sz w:val="22"/>
          <w:szCs w:val="24"/>
          <w:rtl/>
        </w:rPr>
        <w:t xml:space="preserve">אדם טבע ודין </w:t>
      </w:r>
      <w:r w:rsidRPr="003E4F42">
        <w:rPr>
          <w:rFonts w:ascii="Century" w:hAnsi="Century" w:cs="Miriam"/>
          <w:b/>
          <w:spacing w:val="0"/>
          <w:sz w:val="22"/>
          <w:szCs w:val="24"/>
          <w:rtl/>
        </w:rPr>
        <w:t>–</w:t>
      </w:r>
      <w:r w:rsidRPr="003E4F42">
        <w:rPr>
          <w:rFonts w:ascii="Century" w:hAnsi="Century" w:cs="Miriam" w:hint="cs"/>
          <w:b/>
          <w:spacing w:val="0"/>
          <w:sz w:val="22"/>
          <w:szCs w:val="24"/>
          <w:rtl/>
        </w:rPr>
        <w:t xml:space="preserve"> אגודה ישראלית להגנת הסביבה נ' ראש-ממשלת ישראל</w:t>
      </w:r>
      <w:r w:rsidRPr="003E4F42">
        <w:rPr>
          <w:rFonts w:ascii="Century" w:hAnsi="Century" w:hint="cs"/>
          <w:sz w:val="22"/>
          <w:rtl/>
        </w:rPr>
        <w:t>, פ"ד נח(3) 503, 525 (2004)</w:t>
      </w:r>
      <w:r w:rsidRPr="003E4F42">
        <w:rPr>
          <w:rFonts w:hint="cs"/>
          <w:rtl/>
        </w:rPr>
        <w:t xml:space="preserve">). בהקשר דומה, ציין בעבר השופט </w:t>
      </w:r>
      <w:r w:rsidRPr="003E4F42">
        <w:rPr>
          <w:rFonts w:ascii="Century" w:hAnsi="Century" w:cs="Miriam" w:hint="cs"/>
          <w:b/>
          <w:spacing w:val="0"/>
          <w:sz w:val="22"/>
          <w:szCs w:val="24"/>
          <w:rtl/>
        </w:rPr>
        <w:t>מ' חשין</w:t>
      </w:r>
      <w:r w:rsidRPr="003E4F42">
        <w:rPr>
          <w:rFonts w:ascii="Century" w:hAnsi="Century" w:hint="cs"/>
          <w:sz w:val="22"/>
          <w:rtl/>
        </w:rPr>
        <w:t xml:space="preserve"> (בדעת מיעוט אך לא לעניין זה):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 xml:space="preserve">"השאלה החוקתית המועלית לפנינו היא שאלה נכבדה. [...] אם ניאלץ להכריע בשאלה כבדה זו שהעותרים העלו לפנינו </w:t>
      </w:r>
      <w:r w:rsidRPr="003E4F42">
        <w:rPr>
          <w:rtl/>
        </w:rPr>
        <w:t>–</w:t>
      </w:r>
      <w:r w:rsidRPr="003E4F42">
        <w:rPr>
          <w:rFonts w:hint="cs"/>
          <w:rtl/>
        </w:rPr>
        <w:t xml:space="preserve"> נכריע בה [...] ואולם עד שנבוא להידרש לסוגיה זו, נשאל את עצמנו: האם חייבים אנו להיגרר אחרי העותרים בדרכם ולהכריע בשאלה שאפשר אין צורך כי נכריע בה? [...] לשון אחר: אם יעלה בידינו לערוך את השולחן בכלים-של-חול, לא נידרש כלל לכלים-של-חג-ומועד" (בג"ץ 5503/94 </w:t>
      </w:r>
      <w:r w:rsidRPr="003E4F42">
        <w:rPr>
          <w:rFonts w:ascii="Century" w:hAnsi="Century" w:cs="Miriam" w:hint="cs"/>
          <w:b/>
          <w:spacing w:val="0"/>
          <w:szCs w:val="24"/>
          <w:rtl/>
        </w:rPr>
        <w:t>סגל נ' יושב ראש הכנסת</w:t>
      </w:r>
      <w:r w:rsidRPr="003E4F42">
        <w:rPr>
          <w:rFonts w:ascii="Century" w:hAnsi="Century" w:hint="cs"/>
          <w:rtl/>
        </w:rPr>
        <w:t xml:space="preserve">, פ"ד נא(4) 529, 548 (1997) (להלן: עניין </w:t>
      </w:r>
      <w:r w:rsidRPr="003E4F42">
        <w:rPr>
          <w:rFonts w:ascii="Century" w:hAnsi="Century" w:cs="Miriam" w:hint="cs"/>
          <w:b/>
          <w:spacing w:val="0"/>
          <w:szCs w:val="24"/>
          <w:rtl/>
        </w:rPr>
        <w:t>סגל</w:t>
      </w:r>
      <w:r w:rsidRPr="003E4F42">
        <w:rPr>
          <w:rFonts w:ascii="Century" w:hAnsi="Century" w:hint="cs"/>
          <w:rtl/>
        </w:rPr>
        <w:t>)</w:t>
      </w:r>
      <w:r w:rsidRPr="003E4F42">
        <w:rPr>
          <w:rFonts w:hint="cs"/>
          <w:rtl/>
        </w:rPr>
        <w:t xml:space="preserve">). </w:t>
      </w:r>
    </w:p>
    <w:p w:rsidR="001E6B43" w:rsidRPr="003E4F42" w:rsidRDefault="001E6B43" w:rsidP="001E6B43">
      <w:pPr>
        <w:pStyle w:val="Ruller41"/>
        <w:rPr>
          <w:rFonts w:ascii="Century" w:hAnsi="Century"/>
          <w:rtl/>
        </w:rPr>
      </w:pPr>
    </w:p>
    <w:p w:rsidR="001E6B43" w:rsidRPr="003E4F42" w:rsidRDefault="001E6B43" w:rsidP="001E6B43">
      <w:pPr>
        <w:pStyle w:val="Ruller41"/>
        <w:rPr>
          <w:rFonts w:ascii="Century" w:hAnsi="Century"/>
          <w:rtl/>
        </w:rPr>
      </w:pPr>
      <w:r w:rsidRPr="003E4F42">
        <w:rPr>
          <w:rFonts w:ascii="Century" w:hAnsi="Century"/>
          <w:rtl/>
        </w:rPr>
        <w:tab/>
      </w:r>
      <w:r w:rsidRPr="003E4F42">
        <w:rPr>
          <w:rFonts w:ascii="Century" w:hAnsi="Century" w:hint="cs"/>
          <w:rtl/>
        </w:rPr>
        <w:t xml:space="preserve">ובמילים אחרות: הידרשותו של בית המשפט לשאלת בטלותו של חוק היא בבחינת "מוצא אחרון". לאחרונה (בג"ץ 8948/22 </w:t>
      </w:r>
      <w:r w:rsidRPr="003E4F42">
        <w:rPr>
          <w:rFonts w:ascii="Century" w:hAnsi="Century" w:cs="Miriam" w:hint="cs"/>
          <w:b/>
          <w:spacing w:val="0"/>
          <w:szCs w:val="24"/>
          <w:rtl/>
        </w:rPr>
        <w:t>שיינפלד נ' הכנסת</w:t>
      </w:r>
      <w:r w:rsidRPr="003E4F42">
        <w:rPr>
          <w:rFonts w:ascii="Century" w:hAnsi="Century" w:hint="cs"/>
          <w:rtl/>
        </w:rPr>
        <w:t xml:space="preserve"> (18.1.2023) (להלן: עניין </w:t>
      </w:r>
      <w:r w:rsidRPr="003E4F42">
        <w:rPr>
          <w:rFonts w:ascii="Century" w:hAnsi="Century" w:cs="Miriam" w:hint="cs"/>
          <w:b/>
          <w:spacing w:val="0"/>
          <w:szCs w:val="24"/>
          <w:rtl/>
        </w:rPr>
        <w:t>דרעי</w:t>
      </w:r>
      <w:r w:rsidRPr="003E4F42">
        <w:rPr>
          <w:rFonts w:ascii="Century" w:hAnsi="Century" w:hint="cs"/>
          <w:rtl/>
        </w:rPr>
        <w:t xml:space="preserve">)), עמדתי על הריסון המתחייב בעריכת ביקורת חוקתית, תוך חזרה למושכלות היסוד שמקורן בפסק הדין של השופט ברנדייס בעניין </w:t>
      </w:r>
      <w:r w:rsidRPr="003E4F42">
        <w:rPr>
          <w:rFonts w:ascii="Century" w:hAnsi="Century" w:cs="Miriam"/>
          <w:b/>
          <w:spacing w:val="0"/>
          <w:szCs w:val="24"/>
        </w:rPr>
        <w:t>Ashwander</w:t>
      </w:r>
      <w:r w:rsidRPr="003E4F42">
        <w:rPr>
          <w:rFonts w:ascii="Century" w:hAnsi="Century"/>
          <w:rtl/>
        </w:rPr>
        <w:t xml:space="preserve"> </w:t>
      </w:r>
      <w:r w:rsidRPr="003E4F42">
        <w:rPr>
          <w:rFonts w:ascii="Century" w:hAnsi="Century" w:hint="cs"/>
          <w:rtl/>
        </w:rPr>
        <w:t>(</w:t>
      </w:r>
      <w:r w:rsidRPr="003E4F42">
        <w:rPr>
          <w:rFonts w:ascii="Century" w:hAnsi="Century"/>
          <w:color w:val="000000"/>
          <w:szCs w:val="22"/>
        </w:rPr>
        <w:t>Ashwander v. Tennessee Valley Auth., 297 U.S. 288 (1936)</w:t>
      </w:r>
      <w:r w:rsidRPr="003E4F42">
        <w:rPr>
          <w:rFonts w:ascii="Century" w:hAnsi="Century" w:hint="cs"/>
          <w:rtl/>
        </w:rPr>
        <w:t xml:space="preserve">). באותו עניין נקבעו כללים בשאלה אימתי ימשוך בית המשפט ידו מבחינת חוקתיותו של חוק (להלן: </w:t>
      </w:r>
      <w:r w:rsidRPr="003E4F42">
        <w:rPr>
          <w:rFonts w:ascii="Century" w:hAnsi="Century" w:cs="Miriam" w:hint="cs"/>
          <w:b/>
          <w:spacing w:val="0"/>
          <w:szCs w:val="24"/>
          <w:rtl/>
        </w:rPr>
        <w:t>כללי אשוונדר</w:t>
      </w:r>
      <w:r w:rsidRPr="003E4F42">
        <w:rPr>
          <w:rFonts w:ascii="Century" w:hAnsi="Century" w:hint="cs"/>
          <w:rtl/>
        </w:rPr>
        <w:t xml:space="preserve">). מבין הכללים שמנויים באותו פסק דין, יפים לענייננו שלושה (הכלל השני, הרביעי והשביעי; תרגומם של הכללים מתוך פסק הדין של הנשיא </w:t>
      </w:r>
      <w:r w:rsidRPr="003E4F42">
        <w:rPr>
          <w:rFonts w:ascii="Century" w:hAnsi="Century" w:cs="Miriam" w:hint="cs"/>
          <w:b/>
          <w:spacing w:val="0"/>
          <w:szCs w:val="24"/>
          <w:rtl/>
        </w:rPr>
        <w:t>מ' שמגר</w:t>
      </w:r>
      <w:r w:rsidRPr="003E4F42">
        <w:rPr>
          <w:rFonts w:ascii="Century" w:hAnsi="Century" w:hint="cs"/>
          <w:rtl/>
        </w:rPr>
        <w:t xml:space="preserve"> ב</w:t>
      </w:r>
      <w:r w:rsidRPr="003E4F42">
        <w:rPr>
          <w:rFonts w:ascii="Century" w:hAnsi="Century" w:hint="eastAsia"/>
          <w:rtl/>
        </w:rPr>
        <w:t>ע</w:t>
      </w:r>
      <w:r w:rsidRPr="003E4F42">
        <w:rPr>
          <w:rFonts w:ascii="Century" w:hAnsi="Century"/>
          <w:rtl/>
        </w:rPr>
        <w:t>"</w:t>
      </w:r>
      <w:r w:rsidRPr="003E4F42">
        <w:rPr>
          <w:rFonts w:ascii="Century" w:hAnsi="Century" w:hint="eastAsia"/>
          <w:rtl/>
        </w:rPr>
        <w:t>א</w:t>
      </w:r>
      <w:r w:rsidRPr="003E4F42">
        <w:rPr>
          <w:rFonts w:ascii="Century" w:hAnsi="Century"/>
          <w:rtl/>
        </w:rPr>
        <w:t xml:space="preserve"> 6821/93 </w:t>
      </w:r>
      <w:r w:rsidRPr="003E4F42">
        <w:rPr>
          <w:rFonts w:ascii="Century" w:hAnsi="Century" w:cs="Miriam" w:hint="eastAsia"/>
          <w:b/>
          <w:spacing w:val="0"/>
          <w:szCs w:val="24"/>
          <w:rtl/>
        </w:rPr>
        <w:t>בנק</w:t>
      </w:r>
      <w:r w:rsidRPr="003E4F42">
        <w:rPr>
          <w:rFonts w:ascii="Century" w:hAnsi="Century" w:cs="Miriam"/>
          <w:b/>
          <w:spacing w:val="0"/>
          <w:szCs w:val="24"/>
          <w:rtl/>
        </w:rPr>
        <w:t xml:space="preserve"> </w:t>
      </w:r>
      <w:r w:rsidRPr="003E4F42">
        <w:rPr>
          <w:rFonts w:ascii="Century" w:hAnsi="Century" w:cs="Miriam" w:hint="eastAsia"/>
          <w:b/>
          <w:spacing w:val="0"/>
          <w:szCs w:val="24"/>
          <w:rtl/>
        </w:rPr>
        <w:t>המזרחי</w:t>
      </w:r>
      <w:r w:rsidRPr="003E4F42">
        <w:rPr>
          <w:rFonts w:ascii="Century" w:hAnsi="Century" w:cs="Miriam"/>
          <w:b/>
          <w:spacing w:val="0"/>
          <w:szCs w:val="24"/>
          <w:rtl/>
        </w:rPr>
        <w:t xml:space="preserve"> </w:t>
      </w:r>
      <w:r w:rsidRPr="003E4F42">
        <w:rPr>
          <w:rFonts w:ascii="Century" w:hAnsi="Century" w:cs="Miriam" w:hint="eastAsia"/>
          <w:b/>
          <w:spacing w:val="0"/>
          <w:szCs w:val="24"/>
          <w:rtl/>
        </w:rPr>
        <w:t>המאוחד</w:t>
      </w:r>
      <w:r w:rsidRPr="003E4F42">
        <w:rPr>
          <w:rFonts w:ascii="Century" w:hAnsi="Century" w:cs="Miriam"/>
          <w:b/>
          <w:spacing w:val="0"/>
          <w:szCs w:val="24"/>
          <w:rtl/>
        </w:rPr>
        <w:t xml:space="preserve"> </w:t>
      </w:r>
      <w:r w:rsidRPr="003E4F42">
        <w:rPr>
          <w:rFonts w:ascii="Century" w:hAnsi="Century" w:cs="Miriam" w:hint="eastAsia"/>
          <w:b/>
          <w:spacing w:val="0"/>
          <w:szCs w:val="24"/>
          <w:rtl/>
        </w:rPr>
        <w:t>בע</w:t>
      </w:r>
      <w:r w:rsidRPr="003E4F42">
        <w:rPr>
          <w:rFonts w:ascii="Century" w:hAnsi="Century" w:cs="Miriam"/>
          <w:b/>
          <w:spacing w:val="0"/>
          <w:szCs w:val="24"/>
          <w:rtl/>
        </w:rPr>
        <w:t>"</w:t>
      </w:r>
      <w:r w:rsidRPr="003E4F42">
        <w:rPr>
          <w:rFonts w:ascii="Century" w:hAnsi="Century" w:cs="Miriam" w:hint="eastAsia"/>
          <w:b/>
          <w:spacing w:val="0"/>
          <w:szCs w:val="24"/>
          <w:rtl/>
        </w:rPr>
        <w:t>מ</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מגדל</w:t>
      </w:r>
      <w:r w:rsidRPr="003E4F42">
        <w:rPr>
          <w:rFonts w:ascii="Century" w:hAnsi="Century" w:cs="Miriam"/>
          <w:b/>
          <w:spacing w:val="0"/>
          <w:szCs w:val="24"/>
          <w:rtl/>
        </w:rPr>
        <w:t xml:space="preserve"> </w:t>
      </w:r>
      <w:r w:rsidRPr="003E4F42">
        <w:rPr>
          <w:rFonts w:ascii="Century" w:hAnsi="Century" w:cs="Miriam" w:hint="eastAsia"/>
          <w:b/>
          <w:spacing w:val="0"/>
          <w:szCs w:val="24"/>
          <w:rtl/>
        </w:rPr>
        <w:t>כפר</w:t>
      </w:r>
      <w:r w:rsidRPr="003E4F42">
        <w:rPr>
          <w:rFonts w:ascii="Century" w:hAnsi="Century" w:cs="Miriam"/>
          <w:b/>
          <w:spacing w:val="0"/>
          <w:szCs w:val="24"/>
          <w:rtl/>
        </w:rPr>
        <w:t xml:space="preserve"> </w:t>
      </w:r>
      <w:r w:rsidRPr="003E4F42">
        <w:rPr>
          <w:rFonts w:ascii="Century" w:hAnsi="Century" w:cs="Miriam" w:hint="eastAsia"/>
          <w:b/>
          <w:spacing w:val="0"/>
          <w:szCs w:val="24"/>
          <w:rtl/>
        </w:rPr>
        <w:t>שיתופי</w:t>
      </w:r>
      <w:r w:rsidRPr="003E4F42">
        <w:rPr>
          <w:rFonts w:ascii="Century" w:hAnsi="Century"/>
          <w:rtl/>
        </w:rPr>
        <w:t xml:space="preserve">, </w:t>
      </w:r>
      <w:r w:rsidRPr="003E4F42">
        <w:rPr>
          <w:rFonts w:ascii="Century" w:hAnsi="Century" w:hint="eastAsia"/>
          <w:rtl/>
        </w:rPr>
        <w:t>פ</w:t>
      </w:r>
      <w:r w:rsidRPr="003E4F42">
        <w:rPr>
          <w:rFonts w:ascii="Century" w:hAnsi="Century"/>
          <w:rtl/>
        </w:rPr>
        <w:t>"</w:t>
      </w:r>
      <w:r w:rsidRPr="003E4F42">
        <w:rPr>
          <w:rFonts w:ascii="Century" w:hAnsi="Century" w:hint="eastAsia"/>
          <w:rtl/>
        </w:rPr>
        <w:t>ד</w:t>
      </w:r>
      <w:r w:rsidRPr="003E4F42">
        <w:rPr>
          <w:rFonts w:ascii="Century" w:hAnsi="Century"/>
          <w:rtl/>
        </w:rPr>
        <w:t xml:space="preserve"> </w:t>
      </w:r>
      <w:r w:rsidRPr="003E4F42">
        <w:rPr>
          <w:rFonts w:ascii="Century" w:hAnsi="Century" w:hint="eastAsia"/>
          <w:rtl/>
        </w:rPr>
        <w:t>מט</w:t>
      </w:r>
      <w:r w:rsidRPr="003E4F42">
        <w:rPr>
          <w:rFonts w:ascii="Century" w:hAnsi="Century"/>
          <w:rtl/>
        </w:rPr>
        <w:t>(4) 221, 350-349 (1995)</w:t>
      </w:r>
      <w:r w:rsidRPr="003E4F42">
        <w:rPr>
          <w:rFonts w:ascii="Century" w:hAnsi="Century" w:hint="cs"/>
          <w:rtl/>
        </w:rPr>
        <w:t xml:space="preserve"> (להלן: עניין </w:t>
      </w:r>
      <w:r w:rsidRPr="003E4F42">
        <w:rPr>
          <w:rFonts w:ascii="Century" w:hAnsi="Century" w:cs="Miriam" w:hint="cs"/>
          <w:b/>
          <w:spacing w:val="0"/>
          <w:szCs w:val="24"/>
          <w:rtl/>
        </w:rPr>
        <w:t>בנק המזרחי</w:t>
      </w:r>
      <w:r w:rsidRPr="003E4F42">
        <w:rPr>
          <w:rFonts w:ascii="Century" w:hAnsi="Century" w:hint="cs"/>
          <w:rtl/>
        </w:rPr>
        <w:t xml:space="preserve">); ההדגשות הוספו </w:t>
      </w:r>
      <w:r w:rsidRPr="003E4F42">
        <w:rPr>
          <w:rFonts w:ascii="Century" w:hAnsi="Century"/>
          <w:rtl/>
        </w:rPr>
        <w:t>–</w:t>
      </w:r>
      <w:r w:rsidRPr="003E4F42">
        <w:rPr>
          <w:rFonts w:ascii="Century" w:hAnsi="Century" w:hint="cs"/>
          <w:rtl/>
        </w:rPr>
        <w:t xml:space="preserve"> ע' פ'):</w:t>
      </w:r>
    </w:p>
    <w:p w:rsidR="001E6B43" w:rsidRPr="003E4F42" w:rsidRDefault="001E6B43" w:rsidP="001E6B43">
      <w:pPr>
        <w:pStyle w:val="Ruller41"/>
        <w:rPr>
          <w:rFonts w:ascii="Century" w:hAnsi="Century"/>
          <w:rtl/>
        </w:rPr>
      </w:pPr>
    </w:p>
    <w:p w:rsidR="001E6B43" w:rsidRPr="003E4F42" w:rsidRDefault="001E6B43" w:rsidP="001E6B43">
      <w:pPr>
        <w:pStyle w:val="Ruller5"/>
        <w:rPr>
          <w:rtl/>
        </w:rPr>
      </w:pPr>
      <w:r w:rsidRPr="003E4F42">
        <w:rPr>
          <w:rFonts w:hint="cs"/>
          <w:rtl/>
        </w:rPr>
        <w:lastRenderedPageBreak/>
        <w:t>"(ב) בית המשפט אינו נוהג לדון בשאלות בעלות אופי חוקתי, אלא אם כן הדבר דרוש באופן החלטי (</w:t>
      </w:r>
      <w:r w:rsidRPr="003E4F42">
        <w:rPr>
          <w:rFonts w:ascii="Century" w:hAnsi="Century" w:cs="Miriam"/>
          <w:bCs/>
          <w:spacing w:val="0"/>
          <w:szCs w:val="24"/>
        </w:rPr>
        <w:t>absolutely necessary</w:t>
      </w:r>
      <w:r w:rsidRPr="003E4F42">
        <w:rPr>
          <w:rFonts w:hint="cs"/>
          <w:rtl/>
        </w:rPr>
        <w:t>) לצורך הכרעה בעניין.</w:t>
      </w:r>
    </w:p>
    <w:p w:rsidR="001E6B43" w:rsidRPr="003E4F42" w:rsidRDefault="001E6B43" w:rsidP="001E6B43">
      <w:pPr>
        <w:pStyle w:val="Ruller5"/>
        <w:rPr>
          <w:rtl/>
        </w:rPr>
      </w:pPr>
      <w:r w:rsidRPr="003E4F42">
        <w:rPr>
          <w:rFonts w:hint="cs"/>
          <w:rtl/>
        </w:rPr>
        <w:t>[...]</w:t>
      </w:r>
    </w:p>
    <w:p w:rsidR="001E6B43" w:rsidRPr="003E4F42" w:rsidRDefault="001E6B43" w:rsidP="001E6B43">
      <w:pPr>
        <w:pStyle w:val="Ruller5"/>
        <w:rPr>
          <w:rFonts w:ascii="Century" w:hAnsi="Century"/>
          <w:rtl/>
        </w:rPr>
      </w:pPr>
      <w:r w:rsidRPr="003E4F42">
        <w:rPr>
          <w:rFonts w:hint="cs"/>
          <w:rtl/>
        </w:rPr>
        <w:t xml:space="preserve">(ד) בית המשפט לא יחליט בבעיה חוקתית, אף אם היא מועלת כיאות, אם </w:t>
      </w:r>
      <w:r w:rsidRPr="003E4F42">
        <w:rPr>
          <w:rFonts w:ascii="Century" w:hAnsi="Century" w:cs="Miriam" w:hint="cs"/>
          <w:b/>
          <w:spacing w:val="0"/>
          <w:szCs w:val="24"/>
          <w:rtl/>
        </w:rPr>
        <w:t>יש גם טעם אחר</w:t>
      </w:r>
      <w:r w:rsidRPr="003E4F42">
        <w:rPr>
          <w:rFonts w:ascii="Century" w:hAnsi="Century" w:hint="cs"/>
          <w:rtl/>
        </w:rPr>
        <w:t xml:space="preserve"> אשר על יסודו ניתן להכריע בעניין נושא הדיון. אם ניתן להכריע במחלוקת על-פי שני טעמים חלופיים, האחד חוקתי ואחר המעוגן </w:t>
      </w:r>
      <w:r w:rsidRPr="003E4F42">
        <w:rPr>
          <w:rFonts w:ascii="Century" w:hAnsi="Century" w:cs="Miriam" w:hint="cs"/>
          <w:b/>
          <w:spacing w:val="0"/>
          <w:szCs w:val="24"/>
          <w:rtl/>
        </w:rPr>
        <w:t>בפרשנות החוק</w:t>
      </w:r>
      <w:r w:rsidRPr="003E4F42">
        <w:rPr>
          <w:rFonts w:ascii="Century" w:hAnsi="Century" w:hint="cs"/>
          <w:rtl/>
        </w:rPr>
        <w:t xml:space="preserve"> או בעקרונות כלליים של המשפט, בית המשפט יחליט רק על יסוד נימוק מן הסוג השני. </w:t>
      </w:r>
    </w:p>
    <w:p w:rsidR="001E6B43" w:rsidRPr="003E4F42" w:rsidRDefault="001E6B43" w:rsidP="001E6B43">
      <w:pPr>
        <w:pStyle w:val="Ruller5"/>
        <w:rPr>
          <w:rFonts w:ascii="Century" w:hAnsi="Century"/>
          <w:rtl/>
        </w:rPr>
      </w:pPr>
      <w:r w:rsidRPr="003E4F42">
        <w:rPr>
          <w:rFonts w:ascii="Century" w:hAnsi="Century" w:hint="cs"/>
          <w:rtl/>
        </w:rPr>
        <w:t>[...]</w:t>
      </w:r>
    </w:p>
    <w:p w:rsidR="001E6B43" w:rsidRPr="003E4F42" w:rsidRDefault="001E6B43" w:rsidP="001E6B43">
      <w:pPr>
        <w:pStyle w:val="Ruller5"/>
        <w:rPr>
          <w:rtl/>
        </w:rPr>
      </w:pPr>
      <w:r w:rsidRPr="003E4F42">
        <w:rPr>
          <w:rFonts w:ascii="Century" w:hAnsi="Century" w:hint="cs"/>
          <w:rtl/>
        </w:rPr>
        <w:t>(ז) כאשר תוקפו של חוק של הקונגרס מועלה לדיון, ואפילו אם מועלה ספק רציני בדבר חוקתיותו, הרי כלל מנחה מרכזי הוא שבית המשפט יבדוק תחילה אם אפשרית פרשנות סבירה, אשר לאורה ניתן להימנע מן ההכרעה בשאלה</w:t>
      </w:r>
      <w:r w:rsidRPr="003E4F42">
        <w:rPr>
          <w:rFonts w:hint="cs"/>
          <w:rtl/>
        </w:rPr>
        <w:t xml:space="preserve">".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Fonts w:ascii="Century" w:hAnsi="Century"/>
          <w:sz w:val="22"/>
          <w:rtl/>
        </w:rPr>
      </w:pPr>
      <w:r w:rsidRPr="003E4F42">
        <w:rPr>
          <w:rtl/>
        </w:rPr>
        <w:tab/>
      </w:r>
      <w:r w:rsidRPr="003E4F42">
        <w:rPr>
          <w:rFonts w:hint="cs"/>
          <w:rtl/>
        </w:rPr>
        <w:t xml:space="preserve">הנשיא </w:t>
      </w:r>
      <w:r w:rsidRPr="003E4F42">
        <w:rPr>
          <w:rFonts w:ascii="Century" w:hAnsi="Century" w:cs="Miriam" w:hint="cs"/>
          <w:b/>
          <w:spacing w:val="0"/>
          <w:sz w:val="22"/>
          <w:szCs w:val="24"/>
          <w:rtl/>
        </w:rPr>
        <w:t xml:space="preserve">שמגר </w:t>
      </w:r>
      <w:r w:rsidRPr="003E4F42">
        <w:rPr>
          <w:rFonts w:ascii="Century" w:hAnsi="Century" w:hint="cs"/>
          <w:sz w:val="22"/>
          <w:rtl/>
        </w:rPr>
        <w:t xml:space="preserve">ציין בעניין </w:t>
      </w:r>
      <w:r w:rsidRPr="003E4F42">
        <w:rPr>
          <w:rFonts w:ascii="Century" w:hAnsi="Century" w:cs="Miriam" w:hint="cs"/>
          <w:b/>
          <w:spacing w:val="0"/>
          <w:sz w:val="22"/>
          <w:szCs w:val="24"/>
          <w:rtl/>
        </w:rPr>
        <w:t xml:space="preserve">בנק המזרחי </w:t>
      </w:r>
      <w:r w:rsidRPr="003E4F42">
        <w:rPr>
          <w:rFonts w:ascii="Century" w:hAnsi="Century" w:hint="cs"/>
          <w:sz w:val="22"/>
          <w:rtl/>
        </w:rPr>
        <w:t xml:space="preserve">כי הגישה העקרונית שבאה לידי ביטוי בכללי אשוונדר ורוחם ראויים לתשומת לב ולמחשבה. ואכן, בפסקי דין שונים התייחסנו לכללים אלה ולריסון המתחייב מהם (עניין </w:t>
      </w:r>
      <w:r w:rsidRPr="003E4F42">
        <w:rPr>
          <w:rFonts w:ascii="Century" w:hAnsi="Century" w:cs="Miriam" w:hint="cs"/>
          <w:b/>
          <w:spacing w:val="0"/>
          <w:sz w:val="22"/>
          <w:szCs w:val="24"/>
          <w:rtl/>
        </w:rPr>
        <w:t>דרעי</w:t>
      </w:r>
      <w:r w:rsidRPr="003E4F42">
        <w:rPr>
          <w:rFonts w:ascii="Century" w:hAnsi="Century" w:hint="cs"/>
          <w:sz w:val="22"/>
          <w:rtl/>
        </w:rPr>
        <w:t xml:space="preserve">, פסקה 14 לפסק דיני ופסקה 16 לפסק הדין של השופט </w:t>
      </w:r>
      <w:r w:rsidRPr="003E4F42">
        <w:rPr>
          <w:rFonts w:ascii="Century" w:hAnsi="Century" w:cs="Miriam" w:hint="cs"/>
          <w:b/>
          <w:spacing w:val="0"/>
          <w:sz w:val="22"/>
          <w:szCs w:val="24"/>
          <w:rtl/>
        </w:rPr>
        <w:t>א' שטיין</w:t>
      </w:r>
      <w:r w:rsidRPr="003E4F42">
        <w:rPr>
          <w:rFonts w:ascii="Century" w:hAnsi="Century" w:hint="cs"/>
          <w:sz w:val="22"/>
          <w:rtl/>
        </w:rPr>
        <w:t xml:space="preserve">; בג"ץ 5969/20 </w:t>
      </w:r>
      <w:r w:rsidRPr="003E4F42">
        <w:rPr>
          <w:rFonts w:ascii="Century" w:hAnsi="Century" w:cs="Miriam" w:hint="cs"/>
          <w:b/>
          <w:spacing w:val="0"/>
          <w:sz w:val="22"/>
          <w:szCs w:val="24"/>
          <w:rtl/>
        </w:rPr>
        <w:t>שפיר נ' הכנסת</w:t>
      </w:r>
      <w:r w:rsidRPr="003E4F42">
        <w:rPr>
          <w:rFonts w:ascii="Century" w:hAnsi="Century" w:hint="cs"/>
          <w:sz w:val="22"/>
          <w:rtl/>
        </w:rPr>
        <w:t xml:space="preserve">, פסקה 9 לדעת המיעוט של השופט </w:t>
      </w:r>
      <w:r w:rsidRPr="003E4F42">
        <w:rPr>
          <w:rFonts w:ascii="Century" w:hAnsi="Century" w:cs="Miriam" w:hint="cs"/>
          <w:b/>
          <w:spacing w:val="0"/>
          <w:sz w:val="22"/>
          <w:szCs w:val="24"/>
          <w:rtl/>
        </w:rPr>
        <w:t xml:space="preserve">נ' סולברג </w:t>
      </w:r>
      <w:r w:rsidRPr="003E4F42">
        <w:rPr>
          <w:rFonts w:ascii="Century" w:hAnsi="Century" w:hint="cs"/>
          <w:sz w:val="22"/>
          <w:rtl/>
        </w:rPr>
        <w:t xml:space="preserve">(23.5.2021) (להלן: עניין </w:t>
      </w:r>
      <w:r w:rsidRPr="003E4F42">
        <w:rPr>
          <w:rFonts w:ascii="Century" w:hAnsi="Century" w:cs="Miriam" w:hint="cs"/>
          <w:b/>
          <w:spacing w:val="0"/>
          <w:sz w:val="22"/>
          <w:szCs w:val="24"/>
          <w:rtl/>
        </w:rPr>
        <w:t>שפיר</w:t>
      </w:r>
      <w:r w:rsidRPr="003E4F42">
        <w:rPr>
          <w:rFonts w:ascii="Century" w:hAnsi="Century" w:hint="cs"/>
          <w:sz w:val="22"/>
          <w:rtl/>
        </w:rPr>
        <w:t xml:space="preserve">); </w:t>
      </w:r>
      <w:r w:rsidRPr="003E4F42">
        <w:rPr>
          <w:rFonts w:ascii="Century" w:hAnsi="Century" w:hint="eastAsia"/>
          <w:sz w:val="22"/>
          <w:rtl/>
        </w:rPr>
        <w:t>בג</w:t>
      </w:r>
      <w:r w:rsidRPr="003E4F42">
        <w:rPr>
          <w:rFonts w:ascii="Century" w:hAnsi="Century"/>
          <w:sz w:val="22"/>
          <w:rtl/>
        </w:rPr>
        <w:t>"</w:t>
      </w:r>
      <w:r w:rsidRPr="003E4F42">
        <w:rPr>
          <w:rFonts w:ascii="Century" w:hAnsi="Century" w:hint="eastAsia"/>
          <w:sz w:val="22"/>
          <w:rtl/>
        </w:rPr>
        <w:t>ץ</w:t>
      </w:r>
      <w:r w:rsidRPr="003E4F42">
        <w:rPr>
          <w:rFonts w:ascii="Century" w:hAnsi="Century"/>
          <w:sz w:val="22"/>
          <w:rtl/>
        </w:rPr>
        <w:t xml:space="preserve"> 5744/16 </w:t>
      </w:r>
      <w:r w:rsidRPr="003E4F42">
        <w:rPr>
          <w:rFonts w:ascii="Century" w:hAnsi="Century" w:cs="Miriam" w:hint="eastAsia"/>
          <w:b/>
          <w:spacing w:val="0"/>
          <w:sz w:val="22"/>
          <w:szCs w:val="24"/>
          <w:rtl/>
        </w:rPr>
        <w:t>בן</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מאיר</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הכנסת</w:t>
      </w:r>
      <w:r w:rsidRPr="003E4F42">
        <w:rPr>
          <w:rFonts w:ascii="Century" w:hAnsi="Century"/>
          <w:sz w:val="22"/>
          <w:rtl/>
        </w:rPr>
        <w:t xml:space="preserve">, </w:t>
      </w:r>
      <w:r w:rsidRPr="003E4F42">
        <w:rPr>
          <w:rFonts w:ascii="Century" w:hAnsi="Century" w:hint="eastAsia"/>
          <w:sz w:val="22"/>
          <w:rtl/>
        </w:rPr>
        <w:t>פסקה</w:t>
      </w:r>
      <w:r w:rsidRPr="003E4F42">
        <w:rPr>
          <w:rFonts w:ascii="Century" w:hAnsi="Century"/>
          <w:sz w:val="22"/>
          <w:rtl/>
        </w:rPr>
        <w:t xml:space="preserve"> 3 </w:t>
      </w:r>
      <w:r w:rsidRPr="003E4F42">
        <w:rPr>
          <w:rFonts w:ascii="Century" w:hAnsi="Century" w:hint="eastAsia"/>
          <w:sz w:val="22"/>
          <w:rtl/>
        </w:rPr>
        <w:t>לפסק</w:t>
      </w:r>
      <w:r w:rsidRPr="003E4F42">
        <w:rPr>
          <w:rFonts w:ascii="Century" w:hAnsi="Century"/>
          <w:sz w:val="22"/>
          <w:rtl/>
        </w:rPr>
        <w:t xml:space="preserve"> </w:t>
      </w:r>
      <w:r w:rsidRPr="003E4F42">
        <w:rPr>
          <w:rFonts w:ascii="Century" w:hAnsi="Century" w:hint="eastAsia"/>
          <w:sz w:val="22"/>
          <w:rtl/>
        </w:rPr>
        <w:t>הדין</w:t>
      </w:r>
      <w:r w:rsidRPr="003E4F42">
        <w:rPr>
          <w:rFonts w:ascii="Century" w:hAnsi="Century"/>
          <w:sz w:val="22"/>
          <w:rtl/>
        </w:rPr>
        <w:t xml:space="preserve"> </w:t>
      </w:r>
      <w:r w:rsidRPr="003E4F42">
        <w:rPr>
          <w:rFonts w:ascii="Century" w:hAnsi="Century" w:hint="eastAsia"/>
          <w:sz w:val="22"/>
          <w:rtl/>
        </w:rPr>
        <w:t>של</w:t>
      </w:r>
      <w:r w:rsidRPr="003E4F42">
        <w:rPr>
          <w:rFonts w:ascii="Century" w:hAnsi="Century"/>
          <w:sz w:val="22"/>
          <w:rtl/>
        </w:rPr>
        <w:t xml:space="preserve"> </w:t>
      </w:r>
      <w:r w:rsidRPr="003E4F42">
        <w:rPr>
          <w:rFonts w:ascii="Century" w:hAnsi="Century" w:hint="eastAsia"/>
          <w:sz w:val="22"/>
          <w:rtl/>
        </w:rPr>
        <w:t>השופט</w:t>
      </w:r>
      <w:r w:rsidRPr="003E4F42">
        <w:rPr>
          <w:rFonts w:ascii="Century" w:hAnsi="Century"/>
          <w:sz w:val="22"/>
          <w:rtl/>
        </w:rPr>
        <w:t xml:space="preserve"> </w:t>
      </w:r>
      <w:r w:rsidRPr="003E4F42">
        <w:rPr>
          <w:rFonts w:ascii="Century" w:hAnsi="Century" w:cs="Miriam" w:hint="eastAsia"/>
          <w:b/>
          <w:spacing w:val="0"/>
          <w:sz w:val="22"/>
          <w:szCs w:val="24"/>
          <w:rtl/>
        </w:rPr>
        <w:t>מ</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מזוז</w:t>
      </w:r>
      <w:r w:rsidRPr="003E4F42">
        <w:rPr>
          <w:rFonts w:ascii="Century" w:hAnsi="Century"/>
          <w:sz w:val="22"/>
          <w:rtl/>
        </w:rPr>
        <w:t xml:space="preserve"> (27.5.2018)</w:t>
      </w:r>
      <w:r w:rsidRPr="003E4F42">
        <w:rPr>
          <w:rFonts w:ascii="Century" w:hAnsi="Century" w:hint="cs"/>
          <w:sz w:val="22"/>
          <w:rtl/>
        </w:rPr>
        <w:t xml:space="preserve">; עניין </w:t>
      </w:r>
      <w:r w:rsidRPr="003E4F42">
        <w:rPr>
          <w:rFonts w:ascii="Century" w:hAnsi="Century" w:cs="Miriam" w:hint="cs"/>
          <w:b/>
          <w:spacing w:val="0"/>
          <w:sz w:val="22"/>
          <w:szCs w:val="24"/>
          <w:rtl/>
        </w:rPr>
        <w:t>סגל</w:t>
      </w:r>
      <w:r w:rsidRPr="003E4F42">
        <w:rPr>
          <w:rFonts w:ascii="Century" w:hAnsi="Century" w:hint="cs"/>
          <w:sz w:val="22"/>
          <w:rtl/>
        </w:rPr>
        <w:t xml:space="preserve">, בעמ' 550-548). </w:t>
      </w:r>
    </w:p>
    <w:p w:rsidR="001E6B43" w:rsidRPr="003E4F42" w:rsidRDefault="001E6B43" w:rsidP="001E6B43">
      <w:pPr>
        <w:pStyle w:val="Ruller4"/>
        <w:numPr>
          <w:ilvl w:val="0"/>
          <w:numId w:val="0"/>
        </w:numPr>
        <w:rPr>
          <w:rFonts w:ascii="Century" w:hAnsi="Century"/>
          <w:sz w:val="22"/>
          <w:rtl/>
        </w:rPr>
      </w:pPr>
    </w:p>
    <w:p w:rsidR="001E6B43" w:rsidRDefault="001E6B43" w:rsidP="001E6B43">
      <w:pPr>
        <w:pStyle w:val="Ruller4"/>
        <w:rPr>
          <w:rtl/>
        </w:rPr>
      </w:pPr>
      <w:r w:rsidRPr="003E4F42">
        <w:rPr>
          <w:rFonts w:hint="cs"/>
          <w:rtl/>
        </w:rPr>
        <w:t xml:space="preserve">כאמור לעיל, התיקון לחוק מעורר קשיים, שחלקם נעוצים בתוכנו של החוק (וכנטען, בשינוי מאפייניה הא-פוליטיים של הוועדה הממונה) וחלקם נעוצים בתחולתו של החוק על מערכת הבחירות הקרובה לרשויות המקומיות. והנה, לצד התוואי החוקתי שבו ביקשו העותרים שנצעד, ניצב גם תוואי פרשני </w:t>
      </w:r>
      <w:r w:rsidRPr="003E4F42">
        <w:rPr>
          <w:rtl/>
        </w:rPr>
        <w:t>–</w:t>
      </w:r>
      <w:r w:rsidRPr="003E4F42">
        <w:rPr>
          <w:rFonts w:hint="cs"/>
          <w:rtl/>
        </w:rPr>
        <w:t xml:space="preserve"> שעניינו בפרשנות עיתוי תחולתו של התיקון. אין חולק כי חלק מן הקשיים שמעורר התיקון לחוק יכולים לבוא על פתרונם בדרך של פרשנות החוק. היועצת המשפטית לממשלה ציינה בהקשר זה כי לצד הסרת הקשיים שנובעים מתחולתו המיידית של החוק בדרך פרשנית; ייתכן שניתן לתת מענה לקשיים שנובעים מהתיקון גופו באמצעות הסדרים מינהליים מתאימים (והיא הורתה על עריכת בחינה שתיערך בהקשר זה בתוך 6 חודשים). כאמור בפסק דיננו החלקי, הגענו לכלל מסקנה כי הוראות התיקון יפורשו באופן שלא תהיה להן תחולה בבחירות הקרובות לרשויות המקומיות. כפי שנראה להלן, תוצאת מהלך פרשני זה הוא גם מחיקת העתירות ככל שהדברים אמורים ביחס לטענות החוקתיות (תוך שמירת טענות הצדדים). </w:t>
      </w:r>
    </w:p>
    <w:p w:rsidR="00936FFE" w:rsidRDefault="00936FFE" w:rsidP="00936FFE">
      <w:pPr>
        <w:pStyle w:val="Ruller41"/>
        <w:rPr>
          <w:rtl/>
        </w:rPr>
      </w:pPr>
    </w:p>
    <w:p w:rsidR="00936FFE" w:rsidRPr="00936FFE" w:rsidRDefault="00936FFE" w:rsidP="00936FFE">
      <w:pPr>
        <w:pStyle w:val="Ruller41"/>
        <w:rPr>
          <w:rtl/>
        </w:rPr>
      </w:pPr>
    </w:p>
    <w:p w:rsidR="00DF7F20" w:rsidRDefault="00DF7F20">
      <w:pPr>
        <w:overflowPunct/>
        <w:autoSpaceDE/>
        <w:autoSpaceDN/>
        <w:bidi w:val="0"/>
        <w:adjustRightInd/>
        <w:textAlignment w:val="auto"/>
        <w:rPr>
          <w:rFonts w:ascii="Century" w:hAnsi="Century" w:cs="Miriam"/>
          <w:b/>
          <w:sz w:val="22"/>
          <w:rtl/>
        </w:rPr>
      </w:pPr>
    </w:p>
    <w:p w:rsidR="001E6B43" w:rsidRPr="003E4F42" w:rsidRDefault="001E6B43" w:rsidP="001E6B43">
      <w:pPr>
        <w:pStyle w:val="1"/>
        <w:rPr>
          <w:rtl/>
        </w:rPr>
      </w:pPr>
      <w:r w:rsidRPr="003E4F42">
        <w:rPr>
          <w:rFonts w:hint="cs"/>
          <w:rtl/>
        </w:rPr>
        <w:lastRenderedPageBreak/>
        <w:t>תחולתו של תיקון מס' 53</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pPr>
      <w:r w:rsidRPr="003E4F42">
        <w:rPr>
          <w:rFonts w:hint="cs"/>
          <w:rtl/>
        </w:rPr>
        <w:t xml:space="preserve">השאלה הפרשנית שלפנינו נוגעת לתחולתו של תיקון מס' 53 במישור הזמן, ובפרט, האם הוא חל על מערכת הבחירות הקרובה לרשויות המקומיות. תיקון מס' 53 אינו כולל הוראת תחולה או הוראת מעבר מפורשת. כידוע, בהיעדר הוראה מפורשת בחוק, שאלת תחולתו של דבר חקיקה היא שאלה פרשנית </w:t>
      </w:r>
      <w:r w:rsidRPr="003E4F42">
        <w:rPr>
          <w:rtl/>
        </w:rPr>
        <w:t>–</w:t>
      </w:r>
      <w:r w:rsidRPr="003E4F42">
        <w:rPr>
          <w:rFonts w:hint="cs"/>
          <w:rtl/>
        </w:rPr>
        <w:t xml:space="preserve"> "בעזרתם של כללי הפרשנות נקבע היקף הפריסה של החוק, לרבות היקף פריסתו בזמן" (עע"א 1613/91 </w:t>
      </w:r>
      <w:r w:rsidRPr="003E4F42">
        <w:rPr>
          <w:rFonts w:ascii="Century" w:hAnsi="Century" w:cs="Miriam" w:hint="cs"/>
          <w:b/>
          <w:spacing w:val="0"/>
          <w:sz w:val="22"/>
          <w:szCs w:val="24"/>
          <w:rtl/>
        </w:rPr>
        <w:t>ארביב נ' מדינת ישראל</w:t>
      </w:r>
      <w:r w:rsidRPr="003E4F42">
        <w:rPr>
          <w:rFonts w:ascii="Century" w:hAnsi="Century" w:hint="cs"/>
          <w:sz w:val="22"/>
          <w:rtl/>
        </w:rPr>
        <w:t>, פ"</w:t>
      </w:r>
      <w:r w:rsidRPr="003E4F42">
        <w:rPr>
          <w:rFonts w:hint="cs"/>
          <w:rtl/>
        </w:rPr>
        <w:t xml:space="preserve">ד מו(2) 765, 775 (1992) (להלן: עניין </w:t>
      </w:r>
      <w:r w:rsidRPr="003E4F42">
        <w:rPr>
          <w:rFonts w:ascii="Century" w:hAnsi="Century" w:cs="Miriam" w:hint="cs"/>
          <w:b/>
          <w:spacing w:val="0"/>
          <w:sz w:val="22"/>
          <w:szCs w:val="24"/>
          <w:rtl/>
        </w:rPr>
        <w:t>ארביב</w:t>
      </w:r>
      <w:r w:rsidRPr="003E4F42">
        <w:rPr>
          <w:rFonts w:hint="cs"/>
          <w:rtl/>
        </w:rPr>
        <w:t xml:space="preserve">); כן ראו: פסקה 20 לפסק הדין של השופט </w:t>
      </w:r>
      <w:r w:rsidRPr="003E4F42">
        <w:rPr>
          <w:rFonts w:ascii="Century" w:hAnsi="Century" w:cs="Miriam" w:hint="cs"/>
          <w:b/>
          <w:spacing w:val="0"/>
          <w:sz w:val="22"/>
          <w:szCs w:val="24"/>
          <w:rtl/>
        </w:rPr>
        <w:t xml:space="preserve">י' אלרון </w:t>
      </w:r>
      <w:r w:rsidRPr="003E4F42">
        <w:rPr>
          <w:rFonts w:ascii="Century" w:hAnsi="Century" w:hint="cs"/>
          <w:sz w:val="22"/>
          <w:rtl/>
        </w:rPr>
        <w:t xml:space="preserve">בעניין </w:t>
      </w:r>
      <w:r w:rsidRPr="003E4F42">
        <w:rPr>
          <w:rFonts w:ascii="Century" w:hAnsi="Century" w:cs="Miriam" w:hint="cs"/>
          <w:b/>
          <w:spacing w:val="0"/>
          <w:sz w:val="22"/>
          <w:szCs w:val="24"/>
          <w:rtl/>
        </w:rPr>
        <w:t>דרעי</w:t>
      </w:r>
      <w:r w:rsidRPr="003E4F42">
        <w:rPr>
          <w:rFonts w:hint="cs"/>
          <w:rtl/>
        </w:rPr>
        <w:t xml:space="preserve">; ר"ע 231/86 </w:t>
      </w:r>
      <w:r w:rsidRPr="003E4F42">
        <w:rPr>
          <w:rFonts w:ascii="Century" w:hAnsi="Century" w:cs="Miriam" w:hint="cs"/>
          <w:b/>
          <w:spacing w:val="0"/>
          <w:sz w:val="22"/>
          <w:szCs w:val="24"/>
          <w:rtl/>
        </w:rPr>
        <w:t>"הדר" חברה לביטוח בע"מ נ' פוני</w:t>
      </w:r>
      <w:r w:rsidRPr="003E4F42">
        <w:rPr>
          <w:rFonts w:ascii="Century" w:hAnsi="Century" w:hint="cs"/>
          <w:sz w:val="22"/>
          <w:rtl/>
        </w:rPr>
        <w:t>, פ"ד מ(4) 160, 162 (1986)</w:t>
      </w:r>
      <w:r w:rsidRPr="003E4F42">
        <w:rPr>
          <w:rFonts w:hint="cs"/>
          <w:rtl/>
        </w:rPr>
        <w:t xml:space="preserve">; </w:t>
      </w:r>
      <w:r w:rsidRPr="003E4F42">
        <w:rPr>
          <w:rFonts w:hint="eastAsia"/>
          <w:rtl/>
        </w:rPr>
        <w:t>אהרון</w:t>
      </w:r>
      <w:r w:rsidRPr="003E4F42">
        <w:rPr>
          <w:rtl/>
        </w:rPr>
        <w:t xml:space="preserve"> </w:t>
      </w:r>
      <w:r w:rsidRPr="003E4F42">
        <w:rPr>
          <w:rFonts w:hint="eastAsia"/>
          <w:rtl/>
        </w:rPr>
        <w:t>ברק</w:t>
      </w:r>
      <w:r w:rsidRPr="003E4F42">
        <w:rPr>
          <w:rtl/>
        </w:rPr>
        <w:t xml:space="preserve"> </w:t>
      </w:r>
      <w:r w:rsidRPr="003E4F42">
        <w:rPr>
          <w:rFonts w:ascii="Century" w:hAnsi="Century" w:cs="Miriam" w:hint="eastAsia"/>
          <w:b/>
          <w:spacing w:val="0"/>
          <w:sz w:val="22"/>
          <w:szCs w:val="24"/>
          <w:rtl/>
        </w:rPr>
        <w:t>פרשנות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במשפט</w:t>
      </w:r>
      <w:r w:rsidRPr="003E4F42">
        <w:rPr>
          <w:rtl/>
        </w:rPr>
        <w:t xml:space="preserve"> </w:t>
      </w:r>
      <w:r w:rsidRPr="003E4F42">
        <w:rPr>
          <w:rFonts w:hint="eastAsia"/>
          <w:rtl/>
        </w:rPr>
        <w:t>כרך</w:t>
      </w:r>
      <w:r w:rsidRPr="003E4F42">
        <w:rPr>
          <w:rtl/>
        </w:rPr>
        <w:t xml:space="preserve"> </w:t>
      </w:r>
      <w:r w:rsidRPr="003E4F42">
        <w:rPr>
          <w:rFonts w:hint="eastAsia"/>
          <w:rtl/>
        </w:rPr>
        <w:t>שני</w:t>
      </w:r>
      <w:r w:rsidRPr="003E4F42">
        <w:rPr>
          <w:rtl/>
        </w:rPr>
        <w:t xml:space="preserve"> – </w:t>
      </w:r>
      <w:r w:rsidRPr="003E4F42">
        <w:rPr>
          <w:rFonts w:hint="eastAsia"/>
          <w:rtl/>
        </w:rPr>
        <w:t>פרשנות</w:t>
      </w:r>
      <w:r w:rsidRPr="003E4F42">
        <w:rPr>
          <w:rtl/>
        </w:rPr>
        <w:t xml:space="preserve"> </w:t>
      </w:r>
      <w:r w:rsidRPr="003E4F42">
        <w:rPr>
          <w:rFonts w:hint="eastAsia"/>
          <w:rtl/>
        </w:rPr>
        <w:t>החקיקה</w:t>
      </w:r>
      <w:r w:rsidRPr="003E4F42">
        <w:rPr>
          <w:rtl/>
        </w:rPr>
        <w:t xml:space="preserve"> </w:t>
      </w:r>
      <w:r w:rsidRPr="003E4F42">
        <w:rPr>
          <w:rFonts w:hint="cs"/>
          <w:rtl/>
        </w:rPr>
        <w:t xml:space="preserve">616 </w:t>
      </w:r>
      <w:r w:rsidRPr="003E4F42">
        <w:rPr>
          <w:rtl/>
        </w:rPr>
        <w:t>(1993) (</w:t>
      </w:r>
      <w:r w:rsidRPr="003E4F42">
        <w:rPr>
          <w:rFonts w:hint="eastAsia"/>
          <w:rtl/>
        </w:rPr>
        <w:t>להלן</w:t>
      </w:r>
      <w:r w:rsidRPr="003E4F42">
        <w:rPr>
          <w:rtl/>
        </w:rPr>
        <w:t>:</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ברק</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פרשנות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החקיקה</w:t>
      </w:r>
      <w:r w:rsidRPr="003E4F42">
        <w:rPr>
          <w:rtl/>
        </w:rPr>
        <w:t>)</w:t>
      </w:r>
      <w:r w:rsidR="00E97455">
        <w:rPr>
          <w:rFonts w:hint="cs"/>
          <w:rtl/>
        </w:rPr>
        <w:t>)</w:t>
      </w:r>
      <w:r w:rsidRPr="003E4F42">
        <w:rPr>
          <w:rFonts w:hint="cs"/>
          <w:rtl/>
        </w:rPr>
        <w:t>.</w:t>
      </w:r>
      <w:r w:rsidR="00E97455">
        <w:rPr>
          <w:rFonts w:hint="cs"/>
          <w:rtl/>
        </w:rPr>
        <w:t xml:space="preserve"> בהקשר זה יש לציין כי אין בסעיף 10(א) לפקודת סדרי השלטון והמשפט, התש"ח-1948 (שעניינו במועד התוקף של החוק) כדי לסייע לנו, וזאת מאחר שעניינו במועד </w:t>
      </w:r>
      <w:r w:rsidR="00E97455" w:rsidRPr="00F06FEA">
        <w:rPr>
          <w:rFonts w:ascii="Century" w:hAnsi="Century" w:hint="cs"/>
          <w:sz w:val="22"/>
          <w:rtl/>
        </w:rPr>
        <w:t>התחילה</w:t>
      </w:r>
      <w:r w:rsidR="00E97455">
        <w:rPr>
          <w:rFonts w:ascii="Century" w:hAnsi="Century" w:hint="cs"/>
          <w:sz w:val="22"/>
          <w:rtl/>
        </w:rPr>
        <w:t>-הפורמלי</w:t>
      </w:r>
      <w:r w:rsidR="00E97455" w:rsidRPr="00F06FEA">
        <w:rPr>
          <w:rFonts w:ascii="Century" w:hAnsi="Century" w:hint="cs"/>
          <w:sz w:val="22"/>
          <w:rtl/>
        </w:rPr>
        <w:t xml:space="preserve"> </w:t>
      </w:r>
      <w:r w:rsidR="00E97455">
        <w:rPr>
          <w:rFonts w:ascii="Century" w:hAnsi="Century" w:hint="cs"/>
          <w:sz w:val="22"/>
          <w:rtl/>
        </w:rPr>
        <w:t>ולא בתחולה המהותית במישור הזמן (</w:t>
      </w:r>
      <w:r w:rsidR="00E97455">
        <w:rPr>
          <w:rFonts w:hint="cs"/>
          <w:rtl/>
        </w:rPr>
        <w:t xml:space="preserve">בג"ץ 2933/94 </w:t>
      </w:r>
      <w:r w:rsidR="00E97455">
        <w:rPr>
          <w:rFonts w:ascii="Century" w:hAnsi="Century" w:cs="Miriam" w:hint="cs"/>
          <w:b/>
          <w:spacing w:val="0"/>
          <w:szCs w:val="24"/>
          <w:rtl/>
        </w:rPr>
        <w:t>רשות שדות התעופה נ' בית הדין הארצי לעבודה</w:t>
      </w:r>
      <w:r w:rsidR="00E97455">
        <w:rPr>
          <w:rFonts w:ascii="Century" w:hAnsi="Century" w:hint="cs"/>
          <w:rtl/>
        </w:rPr>
        <w:t>, פ"ד נ(3) 837, 861-860</w:t>
      </w:r>
      <w:r w:rsidR="00E97455">
        <w:rPr>
          <w:rFonts w:hint="cs"/>
          <w:rtl/>
        </w:rPr>
        <w:t xml:space="preserve"> (1996); וראו גם שם, בעמ' 853; </w:t>
      </w:r>
      <w:r w:rsidR="00E97455">
        <w:rPr>
          <w:rFonts w:ascii="Century" w:hAnsi="Century" w:hint="cs"/>
          <w:sz w:val="22"/>
          <w:rtl/>
        </w:rPr>
        <w:t xml:space="preserve">יצחק זמיר </w:t>
      </w:r>
      <w:r w:rsidR="00E97455">
        <w:rPr>
          <w:rFonts w:ascii="Century" w:hAnsi="Century" w:cs="Miriam" w:hint="cs"/>
          <w:b/>
          <w:spacing w:val="0"/>
          <w:sz w:val="22"/>
          <w:szCs w:val="24"/>
          <w:rtl/>
        </w:rPr>
        <w:t xml:space="preserve">הסמכות המינהלית </w:t>
      </w:r>
      <w:r w:rsidR="00E97455">
        <w:rPr>
          <w:rFonts w:ascii="Century" w:hAnsi="Century" w:hint="cs"/>
          <w:sz w:val="22"/>
          <w:rtl/>
        </w:rPr>
        <w:t xml:space="preserve">כרך ב </w:t>
      </w:r>
      <w:r w:rsidR="00E97455">
        <w:rPr>
          <w:rFonts w:ascii="Century" w:hAnsi="Century"/>
          <w:sz w:val="22"/>
          <w:rtl/>
        </w:rPr>
        <w:t>–</w:t>
      </w:r>
      <w:r w:rsidR="00E97455">
        <w:rPr>
          <w:rFonts w:ascii="Century" w:hAnsi="Century" w:hint="cs"/>
          <w:sz w:val="22"/>
          <w:rtl/>
        </w:rPr>
        <w:t xml:space="preserve"> ההליך המינהלי 1338 (2011)</w:t>
      </w:r>
      <w:r w:rsidR="00E97455">
        <w:rPr>
          <w:rFonts w:hint="cs"/>
          <w:rtl/>
        </w:rPr>
        <w:t xml:space="preserve">; כן ראו באופן כללי: משרד המשפטים </w:t>
      </w:r>
      <w:r w:rsidR="00E97455">
        <w:rPr>
          <w:rtl/>
        </w:rPr>
        <w:t>–</w:t>
      </w:r>
      <w:r w:rsidR="00E97455">
        <w:rPr>
          <w:rFonts w:hint="cs"/>
          <w:rtl/>
        </w:rPr>
        <w:t xml:space="preserve"> מחלקת נוסח החוק </w:t>
      </w:r>
      <w:r w:rsidR="00E97455">
        <w:rPr>
          <w:rFonts w:ascii="Century" w:hAnsi="Century" w:cs="Miriam" w:hint="cs"/>
          <w:b/>
          <w:spacing w:val="0"/>
          <w:sz w:val="22"/>
          <w:szCs w:val="24"/>
          <w:rtl/>
        </w:rPr>
        <w:t xml:space="preserve">מדריך לניסוח חקיקה </w:t>
      </w:r>
      <w:r w:rsidR="00E97455" w:rsidRPr="000557A0">
        <w:rPr>
          <w:rFonts w:ascii="Century" w:hAnsi="Century" w:hint="cs"/>
          <w:sz w:val="22"/>
          <w:rtl/>
        </w:rPr>
        <w:t>17-14</w:t>
      </w:r>
      <w:r w:rsidR="00E97455">
        <w:rPr>
          <w:rFonts w:ascii="Century" w:hAnsi="Century" w:cs="Miriam" w:hint="cs"/>
          <w:b/>
          <w:spacing w:val="0"/>
          <w:sz w:val="22"/>
          <w:szCs w:val="24"/>
          <w:rtl/>
        </w:rPr>
        <w:t xml:space="preserve"> </w:t>
      </w:r>
      <w:r w:rsidR="00E97455">
        <w:rPr>
          <w:rFonts w:ascii="Century" w:hAnsi="Century" w:hint="cs"/>
          <w:sz w:val="22"/>
          <w:rtl/>
        </w:rPr>
        <w:t>(2008)).</w:t>
      </w:r>
      <w:r w:rsidRPr="003E4F42">
        <w:rPr>
          <w:rFonts w:hint="cs"/>
          <w:rtl/>
        </w:rPr>
        <w:t xml:space="preserve"> בפסיקתנו נקבע לא אחת כי חזקה על חוק שהוא מכוון לעתיד לבוא, ולא למפרע, אלא אם הדבר משתמע במפורש או באופן ברור ממנו (</w:t>
      </w:r>
      <w:r w:rsidRPr="003E4F42">
        <w:rPr>
          <w:rFonts w:ascii="Century" w:hAnsi="Century" w:hint="cs"/>
          <w:rtl/>
        </w:rPr>
        <w:t xml:space="preserve">עע"ם 7749/09 </w:t>
      </w:r>
      <w:r w:rsidRPr="003E4F42">
        <w:rPr>
          <w:rFonts w:ascii="Century" w:hAnsi="Century" w:cs="Miriam" w:hint="cs"/>
          <w:b/>
          <w:spacing w:val="0"/>
          <w:sz w:val="22"/>
          <w:szCs w:val="24"/>
          <w:rtl/>
        </w:rPr>
        <w:t>אורט ישראל חברה לתועלת הציבור נ' הממונה על מחוז ירושלים במשרד הפנים</w:t>
      </w:r>
      <w:r w:rsidRPr="003E4F42">
        <w:rPr>
          <w:rFonts w:ascii="Century" w:hAnsi="Century" w:hint="cs"/>
          <w:sz w:val="22"/>
          <w:rtl/>
        </w:rPr>
        <w:t xml:space="preserve">, פסקה 29 (30.11.2011) (להלן: עניין </w:t>
      </w:r>
      <w:r w:rsidRPr="003E4F42">
        <w:rPr>
          <w:rFonts w:ascii="Century" w:hAnsi="Century" w:cs="Miriam" w:hint="cs"/>
          <w:b/>
          <w:spacing w:val="0"/>
          <w:sz w:val="22"/>
          <w:szCs w:val="24"/>
          <w:rtl/>
        </w:rPr>
        <w:t>אורט</w:t>
      </w:r>
      <w:r w:rsidRPr="003E4F42">
        <w:rPr>
          <w:rFonts w:ascii="Century" w:hAnsi="Century" w:hint="cs"/>
          <w:sz w:val="22"/>
          <w:rtl/>
        </w:rPr>
        <w:t xml:space="preserve">); </w:t>
      </w:r>
      <w:r w:rsidRPr="003E4F42">
        <w:rPr>
          <w:rFonts w:ascii="Century" w:hAnsi="Century" w:hint="eastAsia"/>
          <w:sz w:val="22"/>
          <w:rtl/>
        </w:rPr>
        <w:t>ע</w:t>
      </w:r>
      <w:r w:rsidRPr="003E4F42">
        <w:rPr>
          <w:rFonts w:ascii="Century" w:hAnsi="Century"/>
          <w:rtl/>
        </w:rPr>
        <w:t>"</w:t>
      </w:r>
      <w:r w:rsidRPr="003E4F42">
        <w:rPr>
          <w:rFonts w:ascii="Century" w:hAnsi="Century" w:hint="eastAsia"/>
          <w:rtl/>
        </w:rPr>
        <w:t>א</w:t>
      </w:r>
      <w:r w:rsidRPr="003E4F42">
        <w:rPr>
          <w:rFonts w:ascii="Century" w:hAnsi="Century"/>
          <w:rtl/>
        </w:rPr>
        <w:t xml:space="preserve"> 1773/06 </w:t>
      </w:r>
      <w:r w:rsidRPr="003E4F42">
        <w:rPr>
          <w:rFonts w:ascii="Century" w:hAnsi="Century" w:cs="Miriam" w:hint="eastAsia"/>
          <w:b/>
          <w:spacing w:val="0"/>
          <w:sz w:val="22"/>
          <w:szCs w:val="24"/>
          <w:rtl/>
        </w:rPr>
        <w:t>אלף</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קיבוץ</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איילת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השחר</w:t>
      </w:r>
      <w:r w:rsidRPr="003E4F42">
        <w:rPr>
          <w:rFonts w:ascii="Century" w:hAnsi="Century"/>
          <w:rtl/>
        </w:rPr>
        <w:t xml:space="preserve">, </w:t>
      </w:r>
      <w:r w:rsidRPr="003E4F42">
        <w:rPr>
          <w:rFonts w:ascii="Century" w:hAnsi="Century" w:hint="eastAsia"/>
          <w:rtl/>
        </w:rPr>
        <w:t>פסקה</w:t>
      </w:r>
      <w:r w:rsidRPr="003E4F42">
        <w:rPr>
          <w:rFonts w:ascii="Century" w:hAnsi="Century"/>
          <w:rtl/>
        </w:rPr>
        <w:t xml:space="preserve"> 72 (19.12.2010</w:t>
      </w:r>
      <w:r w:rsidRPr="003E4F42">
        <w:rPr>
          <w:rFonts w:ascii="Century" w:hAnsi="Century" w:hint="cs"/>
          <w:rtl/>
        </w:rPr>
        <w:t xml:space="preserve">); </w:t>
      </w:r>
      <w:r w:rsidRPr="003E4F42">
        <w:rPr>
          <w:rFonts w:hint="cs"/>
          <w:rtl/>
        </w:rPr>
        <w:t xml:space="preserve">בג"ץ 9098/01 </w:t>
      </w:r>
      <w:r w:rsidRPr="003E4F42">
        <w:rPr>
          <w:rFonts w:ascii="Century" w:hAnsi="Century" w:cs="Miriam" w:hint="cs"/>
          <w:b/>
          <w:spacing w:val="0"/>
          <w:sz w:val="22"/>
          <w:szCs w:val="24"/>
          <w:rtl/>
        </w:rPr>
        <w:t>גניס נ' משרד הבינוי והשיכון</w:t>
      </w:r>
      <w:r w:rsidRPr="003E4F42">
        <w:rPr>
          <w:rFonts w:ascii="Century" w:hAnsi="Century" w:hint="cs"/>
          <w:sz w:val="22"/>
          <w:rtl/>
        </w:rPr>
        <w:t xml:space="preserve">, פ"ד נט(4) 241, 258 (2005) (להלן: עניין </w:t>
      </w:r>
      <w:r w:rsidRPr="003E4F42">
        <w:rPr>
          <w:rFonts w:ascii="Century" w:hAnsi="Century" w:cs="Miriam" w:hint="cs"/>
          <w:b/>
          <w:spacing w:val="0"/>
          <w:sz w:val="22"/>
          <w:szCs w:val="24"/>
          <w:rtl/>
        </w:rPr>
        <w:t>גניס</w:t>
      </w:r>
      <w:r w:rsidRPr="003E4F42">
        <w:rPr>
          <w:rFonts w:ascii="Century" w:hAnsi="Century" w:hint="cs"/>
          <w:sz w:val="22"/>
          <w:rtl/>
        </w:rPr>
        <w:t>); ע</w:t>
      </w:r>
      <w:r w:rsidRPr="003E4F42">
        <w:rPr>
          <w:rFonts w:hint="cs"/>
          <w:rtl/>
        </w:rPr>
        <w:t xml:space="preserve">"א 27/64 </w:t>
      </w:r>
      <w:r w:rsidRPr="003E4F42">
        <w:rPr>
          <w:rFonts w:ascii="Century" w:hAnsi="Century" w:cs="Miriam" w:hint="cs"/>
          <w:b/>
          <w:spacing w:val="0"/>
          <w:sz w:val="22"/>
          <w:szCs w:val="24"/>
          <w:rtl/>
        </w:rPr>
        <w:t>בדר נ' לשכת עורכי הדין בישראל</w:t>
      </w:r>
      <w:r w:rsidRPr="003E4F42">
        <w:rPr>
          <w:rFonts w:ascii="Century" w:hAnsi="Century" w:hint="cs"/>
          <w:sz w:val="22"/>
          <w:rtl/>
        </w:rPr>
        <w:t>, פ"ד יח(1) 295, 300 (1964); ברק, פרשנות החקיקה, בעמ' 617</w:t>
      </w:r>
      <w:r w:rsidRPr="003E4F42">
        <w:rPr>
          <w:rFonts w:hint="cs"/>
          <w:rtl/>
        </w:rPr>
        <w:t xml:space="preserve">).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דומה כי הצדדים שלפנינו אינם חלוקים ביחס לכללים עקרוניים אלה, אך הם חלוקים בשאלת יישומם בנסיבותיו של התיקון. לשיטת העותרים (כמו גם משיבי הממשלה ומרכז השלטון המקומי), הקביעה כי החוק חל על הבחירות הקרובות הוא בבחינת תחולה למפרע של החוק וכללי הפרשנות התכליתית מחייבים את הקביעה כי הוא אינו חל ביחס לבחירות אלו; מן העבר השני ניצבים הכנסת ובועז יוסף שטוענים כי תחולת החוק ממילא היא לעתיד לבוא, כי אין בו רובד רטרוספקטיבי, וכי כוונת המחוקק הברורה מחייבת את המסקנה שהתיקון חל על הבחירות הקרובות. </w:t>
      </w:r>
    </w:p>
    <w:p w:rsidR="001E6B43" w:rsidRPr="003E4F42" w:rsidRDefault="001E6B43" w:rsidP="001E6B43">
      <w:pPr>
        <w:pStyle w:val="Ruller4"/>
        <w:numPr>
          <w:ilvl w:val="0"/>
          <w:numId w:val="0"/>
        </w:numPr>
        <w:rPr>
          <w:rtl/>
        </w:rPr>
      </w:pPr>
    </w:p>
    <w:p w:rsidR="001E6B43" w:rsidRPr="003E4F42" w:rsidRDefault="001E6B43" w:rsidP="001E6B43">
      <w:pPr>
        <w:pStyle w:val="Ruller4"/>
      </w:pPr>
      <w:r w:rsidRPr="003E4F42">
        <w:rPr>
          <w:rFonts w:hint="cs"/>
          <w:rtl/>
        </w:rPr>
        <w:t xml:space="preserve">בהיעדר הוראה לשונית מפורשת בעניין תחולתו של התיקון במישור הזמן, עלינו להכריע בין שתי התזות הפרשניות בהתאם לכללים המוכרים בדבר פרשנות החקיקה </w:t>
      </w:r>
      <w:r w:rsidRPr="003E4F42">
        <w:rPr>
          <w:rtl/>
        </w:rPr>
        <w:t>–</w:t>
      </w:r>
      <w:r w:rsidRPr="003E4F42">
        <w:rPr>
          <w:rFonts w:hint="cs"/>
          <w:rtl/>
        </w:rPr>
        <w:t xml:space="preserve"> </w:t>
      </w:r>
      <w:r w:rsidRPr="003E4F42">
        <w:rPr>
          <w:rFonts w:hint="cs"/>
          <w:rtl/>
        </w:rPr>
        <w:lastRenderedPageBreak/>
        <w:t xml:space="preserve">"לחוק תהא אותה תחולה בזמן הנדרשת לשם הגשמת תכליתו" (עניין </w:t>
      </w:r>
      <w:r w:rsidRPr="003E4F42">
        <w:rPr>
          <w:rFonts w:ascii="Century" w:hAnsi="Century" w:cs="Miriam" w:hint="cs"/>
          <w:b/>
          <w:spacing w:val="0"/>
          <w:sz w:val="22"/>
          <w:szCs w:val="24"/>
          <w:rtl/>
        </w:rPr>
        <w:t>ארביב</w:t>
      </w:r>
      <w:r w:rsidRPr="003E4F42">
        <w:rPr>
          <w:rFonts w:ascii="Century" w:hAnsi="Century" w:hint="cs"/>
          <w:sz w:val="22"/>
          <w:rtl/>
        </w:rPr>
        <w:t xml:space="preserve">, בעמ' 776-775; וראו למשל באופן כללי: </w:t>
      </w:r>
      <w:r w:rsidRPr="003E4F42">
        <w:rPr>
          <w:rFonts w:hint="cs"/>
          <w:rtl/>
        </w:rPr>
        <w:t xml:space="preserve">בג"ץ 1765/22 </w:t>
      </w:r>
      <w:r w:rsidRPr="003E4F42">
        <w:rPr>
          <w:rFonts w:ascii="Century" w:hAnsi="Century" w:cs="Miriam" w:hint="cs"/>
          <w:b/>
          <w:spacing w:val="0"/>
          <w:sz w:val="22"/>
          <w:szCs w:val="24"/>
          <w:rtl/>
        </w:rPr>
        <w:t xml:space="preserve">משרד תומר ורשה </w:t>
      </w:r>
      <w:r w:rsidRPr="003E4F42">
        <w:rPr>
          <w:rFonts w:ascii="Century" w:hAnsi="Century" w:cs="Miriam"/>
          <w:b/>
          <w:spacing w:val="0"/>
          <w:sz w:val="22"/>
          <w:szCs w:val="24"/>
          <w:rtl/>
        </w:rPr>
        <w:t>–</w:t>
      </w:r>
      <w:r w:rsidRPr="003E4F42">
        <w:rPr>
          <w:rFonts w:ascii="Century" w:hAnsi="Century" w:cs="Miriam" w:hint="cs"/>
          <w:b/>
          <w:spacing w:val="0"/>
          <w:sz w:val="22"/>
          <w:szCs w:val="24"/>
          <w:rtl/>
        </w:rPr>
        <w:t xml:space="preserve"> עורכי דין נ' שרת הפנים</w:t>
      </w:r>
      <w:r w:rsidRPr="003E4F42">
        <w:rPr>
          <w:rFonts w:ascii="Century" w:hAnsi="Century" w:hint="cs"/>
          <w:sz w:val="22"/>
          <w:rtl/>
        </w:rPr>
        <w:t>, פסקה 23 (3.7.2022)</w:t>
      </w:r>
      <w:r w:rsidRPr="003E4F42">
        <w:rPr>
          <w:rFonts w:hint="cs"/>
          <w:rtl/>
        </w:rPr>
        <w:t xml:space="preserve"> (להלן: עניין </w:t>
      </w:r>
      <w:r w:rsidRPr="003E4F42">
        <w:rPr>
          <w:rFonts w:ascii="Century" w:hAnsi="Century" w:cs="Miriam" w:hint="cs"/>
          <w:b/>
          <w:spacing w:val="0"/>
          <w:sz w:val="22"/>
          <w:szCs w:val="24"/>
          <w:rtl/>
        </w:rPr>
        <w:t>תומר ורשה</w:t>
      </w:r>
      <w:r w:rsidRPr="003E4F42">
        <w:rPr>
          <w:rFonts w:hint="cs"/>
          <w:rtl/>
        </w:rPr>
        <w:t xml:space="preserve">); </w:t>
      </w:r>
      <w:r w:rsidRPr="003E4F42">
        <w:rPr>
          <w:rFonts w:hint="eastAsia"/>
          <w:rtl/>
        </w:rPr>
        <w:t>בג</w:t>
      </w:r>
      <w:r w:rsidRPr="003E4F42">
        <w:rPr>
          <w:rtl/>
        </w:rPr>
        <w:t>"</w:t>
      </w:r>
      <w:r w:rsidRPr="003E4F42">
        <w:rPr>
          <w:rFonts w:hint="eastAsia"/>
          <w:rtl/>
        </w:rPr>
        <w:t>ץ</w:t>
      </w:r>
      <w:r w:rsidRPr="003E4F42">
        <w:rPr>
          <w:rtl/>
        </w:rPr>
        <w:t xml:space="preserve"> 6637/16 </w:t>
      </w:r>
      <w:r w:rsidRPr="003E4F42">
        <w:rPr>
          <w:rFonts w:ascii="Century" w:hAnsi="Century" w:cs="Miriam" w:hint="eastAsia"/>
          <w:b/>
          <w:spacing w:val="0"/>
          <w:sz w:val="22"/>
          <w:szCs w:val="24"/>
          <w:rtl/>
        </w:rPr>
        <w:t>לוונשטיין</w:t>
      </w:r>
      <w:r w:rsidRPr="003E4F42">
        <w:rPr>
          <w:rFonts w:ascii="Century" w:hAnsi="Century" w:cs="Miriam"/>
          <w:b/>
          <w:spacing w:val="0"/>
          <w:sz w:val="22"/>
          <w:szCs w:val="24"/>
          <w:rtl/>
        </w:rPr>
        <w:t>-</w:t>
      </w:r>
      <w:r w:rsidRPr="003E4F42">
        <w:rPr>
          <w:rFonts w:ascii="Century" w:hAnsi="Century" w:cs="Miriam" w:hint="eastAsia"/>
          <w:b/>
          <w:spacing w:val="0"/>
          <w:sz w:val="22"/>
          <w:szCs w:val="24"/>
          <w:rtl/>
        </w:rPr>
        <w:t>לוי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מדינת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ישראל</w:t>
      </w:r>
      <w:r w:rsidRPr="003E4F42">
        <w:rPr>
          <w:rtl/>
        </w:rPr>
        <w:t xml:space="preserve">, </w:t>
      </w:r>
      <w:r w:rsidRPr="003E4F42">
        <w:rPr>
          <w:rFonts w:hint="eastAsia"/>
          <w:rtl/>
        </w:rPr>
        <w:t>פסקה</w:t>
      </w:r>
      <w:r w:rsidRPr="003E4F42">
        <w:rPr>
          <w:rtl/>
        </w:rPr>
        <w:t xml:space="preserve"> 17 </w:t>
      </w:r>
      <w:r w:rsidRPr="003E4F42">
        <w:rPr>
          <w:rFonts w:hint="cs"/>
          <w:rtl/>
        </w:rPr>
        <w:t xml:space="preserve">לפסק דיני </w:t>
      </w:r>
      <w:r w:rsidRPr="003E4F42">
        <w:rPr>
          <w:rtl/>
        </w:rPr>
        <w:t>(18.4.2017) (</w:t>
      </w:r>
      <w:r w:rsidRPr="003E4F42">
        <w:rPr>
          <w:rFonts w:hint="eastAsia"/>
          <w:rtl/>
        </w:rPr>
        <w:t>להלן</w:t>
      </w:r>
      <w:r w:rsidRPr="003E4F42">
        <w:rPr>
          <w:rtl/>
        </w:rPr>
        <w:t xml:space="preserve">: </w:t>
      </w:r>
      <w:r w:rsidRPr="003E4F42">
        <w:rPr>
          <w:rFonts w:hint="eastAsia"/>
          <w:rtl/>
        </w:rPr>
        <w:t>עניין</w:t>
      </w:r>
      <w:r w:rsidRPr="003E4F42">
        <w:rPr>
          <w:rtl/>
        </w:rPr>
        <w:t xml:space="preserve"> </w:t>
      </w:r>
      <w:r w:rsidRPr="003E4F42">
        <w:rPr>
          <w:rFonts w:ascii="Century" w:hAnsi="Century" w:cs="Miriam" w:hint="eastAsia"/>
          <w:b/>
          <w:spacing w:val="0"/>
          <w:sz w:val="22"/>
          <w:szCs w:val="24"/>
          <w:rtl/>
        </w:rPr>
        <w:t>לוונשטיין</w:t>
      </w:r>
      <w:r w:rsidRPr="003E4F42">
        <w:rPr>
          <w:rFonts w:ascii="Century" w:hAnsi="Century" w:cs="Miriam"/>
          <w:b/>
          <w:spacing w:val="0"/>
          <w:sz w:val="22"/>
          <w:szCs w:val="24"/>
          <w:rtl/>
        </w:rPr>
        <w:t>-</w:t>
      </w:r>
      <w:r w:rsidRPr="003E4F42">
        <w:rPr>
          <w:rFonts w:ascii="Century" w:hAnsi="Century" w:cs="Miriam" w:hint="eastAsia"/>
          <w:b/>
          <w:spacing w:val="0"/>
          <w:sz w:val="22"/>
          <w:szCs w:val="24"/>
          <w:rtl/>
        </w:rPr>
        <w:t>לוי</w:t>
      </w:r>
      <w:r w:rsidRPr="003E4F42">
        <w:rPr>
          <w:rtl/>
        </w:rPr>
        <w:t xml:space="preserve">); </w:t>
      </w:r>
      <w:r w:rsidRPr="003E4F42">
        <w:rPr>
          <w:rFonts w:hint="eastAsia"/>
          <w:rtl/>
        </w:rPr>
        <w:t>רע</w:t>
      </w:r>
      <w:r w:rsidRPr="003E4F42">
        <w:rPr>
          <w:rtl/>
        </w:rPr>
        <w:t>"</w:t>
      </w:r>
      <w:r w:rsidRPr="003E4F42">
        <w:rPr>
          <w:rFonts w:hint="eastAsia"/>
          <w:rtl/>
        </w:rPr>
        <w:t>א</w:t>
      </w:r>
      <w:r w:rsidRPr="003E4F42">
        <w:rPr>
          <w:rtl/>
        </w:rPr>
        <w:t xml:space="preserve"> 1431/17 </w:t>
      </w:r>
      <w:r w:rsidRPr="003E4F42">
        <w:rPr>
          <w:rFonts w:ascii="Century" w:hAnsi="Century" w:cs="Miriam" w:hint="eastAsia"/>
          <w:b/>
          <w:spacing w:val="0"/>
          <w:sz w:val="22"/>
          <w:szCs w:val="24"/>
          <w:rtl/>
        </w:rPr>
        <w:t>סלומון</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הרשות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לזכויות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ניצולי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השואה</w:t>
      </w:r>
      <w:r w:rsidRPr="003E4F42">
        <w:rPr>
          <w:rtl/>
        </w:rPr>
        <w:t xml:space="preserve">, </w:t>
      </w:r>
      <w:r w:rsidRPr="003E4F42">
        <w:rPr>
          <w:rFonts w:hint="eastAsia"/>
          <w:rtl/>
        </w:rPr>
        <w:t>פסקה</w:t>
      </w:r>
      <w:r w:rsidRPr="003E4F42">
        <w:rPr>
          <w:rtl/>
        </w:rPr>
        <w:t xml:space="preserve"> 28 (16.11.2017); </w:t>
      </w:r>
      <w:r w:rsidRPr="003E4F42">
        <w:rPr>
          <w:rFonts w:hint="eastAsia"/>
          <w:rtl/>
        </w:rPr>
        <w:t>ע</w:t>
      </w:r>
      <w:r w:rsidRPr="003E4F42">
        <w:rPr>
          <w:rtl/>
        </w:rPr>
        <w:t>"</w:t>
      </w:r>
      <w:r w:rsidRPr="003E4F42">
        <w:rPr>
          <w:rFonts w:hint="eastAsia"/>
          <w:rtl/>
        </w:rPr>
        <w:t>א</w:t>
      </w:r>
      <w:r w:rsidRPr="003E4F42">
        <w:rPr>
          <w:rtl/>
        </w:rPr>
        <w:t xml:space="preserve"> 8622/07 </w:t>
      </w:r>
      <w:r w:rsidRPr="003E4F42">
        <w:rPr>
          <w:rFonts w:ascii="Century" w:hAnsi="Century" w:cs="Miriam" w:hint="eastAsia"/>
          <w:b/>
          <w:spacing w:val="0"/>
          <w:sz w:val="22"/>
          <w:szCs w:val="24"/>
          <w:rtl/>
        </w:rPr>
        <w:t>רוטמן</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מע</w:t>
      </w:r>
      <w:r w:rsidRPr="003E4F42">
        <w:rPr>
          <w:rFonts w:ascii="Century" w:hAnsi="Century" w:cs="Miriam"/>
          <w:b/>
          <w:spacing w:val="0"/>
          <w:sz w:val="22"/>
          <w:szCs w:val="24"/>
          <w:rtl/>
        </w:rPr>
        <w:t>"</w:t>
      </w:r>
      <w:r w:rsidRPr="003E4F42">
        <w:rPr>
          <w:rFonts w:ascii="Century" w:hAnsi="Century" w:cs="Miriam" w:hint="eastAsia"/>
          <w:b/>
          <w:spacing w:val="0"/>
          <w:sz w:val="22"/>
          <w:szCs w:val="24"/>
          <w:rtl/>
        </w:rPr>
        <w:t>צ</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החברה</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הלאומית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לדרכים</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בישראל</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בע</w:t>
      </w:r>
      <w:r w:rsidRPr="003E4F42">
        <w:rPr>
          <w:rFonts w:ascii="Century" w:hAnsi="Century" w:cs="Miriam"/>
          <w:b/>
          <w:spacing w:val="0"/>
          <w:sz w:val="22"/>
          <w:szCs w:val="24"/>
          <w:rtl/>
        </w:rPr>
        <w:t>"</w:t>
      </w:r>
      <w:r w:rsidRPr="003E4F42">
        <w:rPr>
          <w:rFonts w:ascii="Century" w:hAnsi="Century" w:cs="Miriam" w:hint="eastAsia"/>
          <w:b/>
          <w:spacing w:val="0"/>
          <w:sz w:val="22"/>
          <w:szCs w:val="24"/>
          <w:rtl/>
        </w:rPr>
        <w:t>מ</w:t>
      </w:r>
      <w:r w:rsidRPr="003E4F42">
        <w:rPr>
          <w:rtl/>
        </w:rPr>
        <w:t>,</w:t>
      </w:r>
      <w:r w:rsidRPr="003E4F42">
        <w:rPr>
          <w:rFonts w:hint="cs"/>
          <w:rtl/>
        </w:rPr>
        <w:t xml:space="preserve"> </w:t>
      </w:r>
      <w:r w:rsidRPr="003E4F42">
        <w:rPr>
          <w:rFonts w:hint="eastAsia"/>
          <w:rtl/>
        </w:rPr>
        <w:t>פסקה</w:t>
      </w:r>
      <w:r w:rsidRPr="003E4F42">
        <w:rPr>
          <w:rtl/>
        </w:rPr>
        <w:t xml:space="preserve"> 34 (14.5.2012)</w:t>
      </w:r>
      <w:r w:rsidRPr="003E4F42">
        <w:rPr>
          <w:rFonts w:hint="cs"/>
          <w:rtl/>
        </w:rPr>
        <w:t xml:space="preserve">).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כידוע, </w:t>
      </w:r>
      <w:r w:rsidRPr="003E4F42">
        <w:rPr>
          <w:rFonts w:hint="eastAsia"/>
          <w:rtl/>
        </w:rPr>
        <w:t>תכליתו</w:t>
      </w:r>
      <w:r w:rsidRPr="003E4F42">
        <w:rPr>
          <w:rtl/>
        </w:rPr>
        <w:t xml:space="preserve"> </w:t>
      </w:r>
      <w:r w:rsidRPr="003E4F42">
        <w:rPr>
          <w:rFonts w:hint="eastAsia"/>
          <w:rtl/>
        </w:rPr>
        <w:t>של</w:t>
      </w:r>
      <w:r w:rsidRPr="003E4F42">
        <w:rPr>
          <w:rtl/>
        </w:rPr>
        <w:t xml:space="preserve"> </w:t>
      </w:r>
      <w:r w:rsidRPr="003E4F42">
        <w:rPr>
          <w:rFonts w:hint="eastAsia"/>
          <w:rtl/>
        </w:rPr>
        <w:t>דבר</w:t>
      </w:r>
      <w:r w:rsidRPr="003E4F42">
        <w:rPr>
          <w:rtl/>
        </w:rPr>
        <w:t xml:space="preserve"> </w:t>
      </w:r>
      <w:r w:rsidRPr="003E4F42">
        <w:rPr>
          <w:rFonts w:hint="eastAsia"/>
          <w:rtl/>
        </w:rPr>
        <w:t>חקיקה</w:t>
      </w:r>
      <w:r w:rsidRPr="003E4F42">
        <w:rPr>
          <w:rtl/>
        </w:rPr>
        <w:t xml:space="preserve"> </w:t>
      </w:r>
      <w:r w:rsidRPr="003E4F42">
        <w:rPr>
          <w:rFonts w:hint="eastAsia"/>
          <w:rtl/>
        </w:rPr>
        <w:t>מורכבת</w:t>
      </w:r>
      <w:r w:rsidRPr="003E4F42">
        <w:rPr>
          <w:rFonts w:hint="cs"/>
          <w:rtl/>
        </w:rPr>
        <w:t xml:space="preserve"> </w:t>
      </w:r>
      <w:r w:rsidRPr="003E4F42">
        <w:rPr>
          <w:rFonts w:hint="eastAsia"/>
          <w:rtl/>
        </w:rPr>
        <w:t>מתכלית</w:t>
      </w:r>
      <w:r w:rsidRPr="003E4F42">
        <w:rPr>
          <w:rtl/>
        </w:rPr>
        <w:t xml:space="preserve"> </w:t>
      </w:r>
      <w:r w:rsidRPr="003E4F42">
        <w:rPr>
          <w:rFonts w:hint="eastAsia"/>
          <w:rtl/>
        </w:rPr>
        <w:t>סובייקטיבית</w:t>
      </w:r>
      <w:r w:rsidRPr="003E4F42">
        <w:rPr>
          <w:rtl/>
        </w:rPr>
        <w:t xml:space="preserve"> </w:t>
      </w:r>
      <w:r w:rsidRPr="003E4F42">
        <w:rPr>
          <w:rFonts w:hint="eastAsia"/>
          <w:rtl/>
        </w:rPr>
        <w:t>ומתכלית</w:t>
      </w:r>
      <w:r w:rsidRPr="003E4F42">
        <w:rPr>
          <w:rtl/>
        </w:rPr>
        <w:t xml:space="preserve"> </w:t>
      </w:r>
      <w:r w:rsidRPr="003E4F42">
        <w:rPr>
          <w:rFonts w:hint="eastAsia"/>
          <w:rtl/>
        </w:rPr>
        <w:t>אובייקטיבית</w:t>
      </w:r>
      <w:r w:rsidRPr="003E4F42">
        <w:rPr>
          <w:rtl/>
        </w:rPr>
        <w:t xml:space="preserve">. </w:t>
      </w:r>
      <w:r w:rsidRPr="003E4F42">
        <w:rPr>
          <w:rFonts w:hint="eastAsia"/>
          <w:rtl/>
        </w:rPr>
        <w:t>התכלית</w:t>
      </w:r>
      <w:r w:rsidRPr="003E4F42">
        <w:rPr>
          <w:rtl/>
        </w:rPr>
        <w:t xml:space="preserve"> </w:t>
      </w:r>
      <w:r w:rsidRPr="003E4F42">
        <w:rPr>
          <w:rFonts w:hint="eastAsia"/>
          <w:rtl/>
        </w:rPr>
        <w:t>הסובייקטיבית</w:t>
      </w:r>
      <w:r w:rsidRPr="003E4F42">
        <w:rPr>
          <w:rtl/>
        </w:rPr>
        <w:t xml:space="preserve"> </w:t>
      </w:r>
      <w:r w:rsidRPr="003E4F42">
        <w:rPr>
          <w:rFonts w:hint="cs"/>
          <w:rtl/>
        </w:rPr>
        <w:t>מתחקה אחר</w:t>
      </w:r>
      <w:r w:rsidRPr="003E4F42">
        <w:rPr>
          <w:rtl/>
        </w:rPr>
        <w:t xml:space="preserve"> </w:t>
      </w:r>
      <w:r w:rsidRPr="003E4F42">
        <w:rPr>
          <w:rFonts w:hint="eastAsia"/>
          <w:rtl/>
        </w:rPr>
        <w:t>הרצון</w:t>
      </w:r>
      <w:r w:rsidRPr="003E4F42">
        <w:rPr>
          <w:rtl/>
        </w:rPr>
        <w:t xml:space="preserve"> </w:t>
      </w:r>
      <w:r w:rsidRPr="003E4F42">
        <w:rPr>
          <w:rFonts w:hint="eastAsia"/>
          <w:rtl/>
        </w:rPr>
        <w:t>הסובייקטיבי</w:t>
      </w:r>
      <w:r w:rsidRPr="003E4F42">
        <w:rPr>
          <w:rtl/>
        </w:rPr>
        <w:t xml:space="preserve"> </w:t>
      </w:r>
      <w:r w:rsidRPr="003E4F42">
        <w:rPr>
          <w:rFonts w:hint="cs"/>
          <w:rtl/>
        </w:rPr>
        <w:t xml:space="preserve">שמונה </w:t>
      </w:r>
      <w:r w:rsidRPr="003E4F42">
        <w:rPr>
          <w:rFonts w:hint="eastAsia"/>
          <w:rtl/>
        </w:rPr>
        <w:t>ביסוד</w:t>
      </w:r>
      <w:r w:rsidRPr="003E4F42">
        <w:rPr>
          <w:rtl/>
        </w:rPr>
        <w:t xml:space="preserve"> </w:t>
      </w:r>
      <w:r w:rsidRPr="003E4F42">
        <w:rPr>
          <w:rFonts w:hint="eastAsia"/>
          <w:rtl/>
        </w:rPr>
        <w:t>החוק</w:t>
      </w:r>
      <w:r w:rsidRPr="003E4F42">
        <w:rPr>
          <w:rtl/>
        </w:rPr>
        <w:t xml:space="preserve">, </w:t>
      </w:r>
      <w:r w:rsidRPr="003E4F42">
        <w:rPr>
          <w:rFonts w:hint="cs"/>
          <w:rtl/>
        </w:rPr>
        <w:t>כלומר</w:t>
      </w:r>
      <w:r w:rsidRPr="003E4F42">
        <w:rPr>
          <w:rtl/>
        </w:rPr>
        <w:t xml:space="preserve">, </w:t>
      </w:r>
      <w:r w:rsidRPr="003E4F42">
        <w:rPr>
          <w:rFonts w:hint="eastAsia"/>
          <w:rtl/>
        </w:rPr>
        <w:t>המטרות</w:t>
      </w:r>
      <w:r w:rsidRPr="003E4F42">
        <w:rPr>
          <w:rtl/>
        </w:rPr>
        <w:t xml:space="preserve">, </w:t>
      </w:r>
      <w:r w:rsidRPr="003E4F42">
        <w:rPr>
          <w:rFonts w:hint="eastAsia"/>
          <w:rtl/>
        </w:rPr>
        <w:t>הערכים</w:t>
      </w:r>
      <w:r w:rsidRPr="003E4F42">
        <w:rPr>
          <w:rtl/>
        </w:rPr>
        <w:t xml:space="preserve"> </w:t>
      </w:r>
      <w:r w:rsidRPr="003E4F42">
        <w:rPr>
          <w:rFonts w:hint="eastAsia"/>
          <w:rtl/>
        </w:rPr>
        <w:t>והמדיניות</w:t>
      </w:r>
      <w:r w:rsidRPr="003E4F42">
        <w:rPr>
          <w:rtl/>
        </w:rPr>
        <w:t xml:space="preserve"> </w:t>
      </w:r>
      <w:r w:rsidRPr="003E4F42">
        <w:rPr>
          <w:rFonts w:hint="eastAsia"/>
          <w:rtl/>
        </w:rPr>
        <w:t>שביקש</w:t>
      </w:r>
      <w:r w:rsidRPr="003E4F42">
        <w:rPr>
          <w:rtl/>
        </w:rPr>
        <w:t xml:space="preserve"> </w:t>
      </w:r>
      <w:r w:rsidRPr="003E4F42">
        <w:rPr>
          <w:rFonts w:hint="eastAsia"/>
          <w:rtl/>
        </w:rPr>
        <w:t>המחוקק</w:t>
      </w:r>
      <w:r w:rsidRPr="003E4F42">
        <w:rPr>
          <w:rtl/>
        </w:rPr>
        <w:t xml:space="preserve"> </w:t>
      </w:r>
      <w:r w:rsidRPr="003E4F42">
        <w:rPr>
          <w:rFonts w:hint="eastAsia"/>
          <w:rtl/>
        </w:rPr>
        <w:t>להגשים</w:t>
      </w:r>
      <w:r w:rsidRPr="003E4F42">
        <w:rPr>
          <w:rtl/>
        </w:rPr>
        <w:t xml:space="preserve">. </w:t>
      </w:r>
      <w:r w:rsidRPr="003E4F42">
        <w:rPr>
          <w:rFonts w:hint="eastAsia"/>
          <w:rtl/>
        </w:rPr>
        <w:t>אין</w:t>
      </w:r>
      <w:r w:rsidRPr="003E4F42">
        <w:rPr>
          <w:rtl/>
        </w:rPr>
        <w:t xml:space="preserve"> </w:t>
      </w:r>
      <w:r w:rsidRPr="003E4F42">
        <w:rPr>
          <w:rFonts w:hint="eastAsia"/>
          <w:rtl/>
        </w:rPr>
        <w:t>מדובר</w:t>
      </w:r>
      <w:r w:rsidRPr="003E4F42">
        <w:rPr>
          <w:rtl/>
        </w:rPr>
        <w:t xml:space="preserve"> </w:t>
      </w:r>
      <w:r w:rsidRPr="003E4F42">
        <w:rPr>
          <w:rFonts w:hint="eastAsia"/>
          <w:rtl/>
        </w:rPr>
        <w:t>בכוונה</w:t>
      </w:r>
      <w:r w:rsidRPr="003E4F42">
        <w:rPr>
          <w:rtl/>
        </w:rPr>
        <w:t xml:space="preserve"> </w:t>
      </w:r>
      <w:r w:rsidRPr="003E4F42">
        <w:rPr>
          <w:rFonts w:hint="eastAsia"/>
          <w:rtl/>
        </w:rPr>
        <w:t>משוערת</w:t>
      </w:r>
      <w:r w:rsidRPr="003E4F42">
        <w:rPr>
          <w:rtl/>
        </w:rPr>
        <w:t xml:space="preserve"> </w:t>
      </w:r>
      <w:r w:rsidRPr="003E4F42">
        <w:rPr>
          <w:rFonts w:hint="eastAsia"/>
          <w:rtl/>
        </w:rPr>
        <w:t>אלא</w:t>
      </w:r>
      <w:r w:rsidRPr="003E4F42">
        <w:rPr>
          <w:rtl/>
        </w:rPr>
        <w:t xml:space="preserve"> </w:t>
      </w:r>
      <w:r w:rsidRPr="003E4F42">
        <w:rPr>
          <w:rFonts w:hint="eastAsia"/>
          <w:rtl/>
        </w:rPr>
        <w:t>בכוונתו</w:t>
      </w:r>
      <w:r w:rsidRPr="003E4F42">
        <w:rPr>
          <w:rtl/>
        </w:rPr>
        <w:t xml:space="preserve"> </w:t>
      </w:r>
      <w:r w:rsidRPr="003E4F42">
        <w:rPr>
          <w:rFonts w:hint="eastAsia"/>
          <w:rtl/>
        </w:rPr>
        <w:t>וברצונו</w:t>
      </w:r>
      <w:r w:rsidRPr="003E4F42">
        <w:rPr>
          <w:rtl/>
        </w:rPr>
        <w:t xml:space="preserve"> </w:t>
      </w:r>
      <w:r w:rsidRPr="003E4F42">
        <w:rPr>
          <w:rFonts w:hint="eastAsia"/>
          <w:rtl/>
        </w:rPr>
        <w:t>של</w:t>
      </w:r>
      <w:r w:rsidRPr="003E4F42">
        <w:rPr>
          <w:rtl/>
        </w:rPr>
        <w:t xml:space="preserve"> </w:t>
      </w:r>
      <w:r w:rsidRPr="003E4F42">
        <w:rPr>
          <w:rFonts w:hint="eastAsia"/>
          <w:rtl/>
        </w:rPr>
        <w:t>יוצר</w:t>
      </w:r>
      <w:r w:rsidRPr="003E4F42">
        <w:rPr>
          <w:rtl/>
        </w:rPr>
        <w:t xml:space="preserve"> </w:t>
      </w:r>
      <w:r w:rsidRPr="003E4F42">
        <w:rPr>
          <w:rFonts w:hint="eastAsia"/>
          <w:rtl/>
        </w:rPr>
        <w:t>החוק</w:t>
      </w:r>
      <w:r w:rsidRPr="003E4F42">
        <w:rPr>
          <w:rtl/>
        </w:rPr>
        <w:t xml:space="preserve"> (</w:t>
      </w:r>
      <w:r w:rsidRPr="003E4F42">
        <w:rPr>
          <w:rFonts w:hint="cs"/>
          <w:rtl/>
        </w:rPr>
        <w:t xml:space="preserve">עע"ם 7825/19 </w:t>
      </w:r>
      <w:r w:rsidRPr="003E4F42">
        <w:rPr>
          <w:rFonts w:ascii="Century" w:hAnsi="Century" w:cs="Miriam" w:hint="cs"/>
          <w:b/>
          <w:spacing w:val="0"/>
          <w:sz w:val="22"/>
          <w:szCs w:val="24"/>
          <w:rtl/>
        </w:rPr>
        <w:t>יוניון מוטורס בע"מ נ' משרד התחבורה והבטיחות בדרכים</w:t>
      </w:r>
      <w:r w:rsidRPr="003E4F42">
        <w:rPr>
          <w:rFonts w:ascii="Century" w:hAnsi="Century" w:hint="cs"/>
          <w:sz w:val="22"/>
          <w:rtl/>
        </w:rPr>
        <w:t>, פסקה 13 (18.10.2020)</w:t>
      </w:r>
      <w:r w:rsidRPr="003E4F42">
        <w:rPr>
          <w:rFonts w:hint="cs"/>
          <w:rtl/>
        </w:rPr>
        <w:t xml:space="preserve"> (להלן: עניין </w:t>
      </w:r>
      <w:r w:rsidRPr="003E4F42">
        <w:rPr>
          <w:rFonts w:ascii="Century" w:hAnsi="Century" w:cs="Miriam" w:hint="cs"/>
          <w:b/>
          <w:spacing w:val="0"/>
          <w:sz w:val="22"/>
          <w:szCs w:val="24"/>
          <w:rtl/>
        </w:rPr>
        <w:t>יוניון מוטורס</w:t>
      </w:r>
      <w:r w:rsidRPr="003E4F42">
        <w:rPr>
          <w:rFonts w:hint="cs"/>
          <w:rtl/>
        </w:rPr>
        <w:t xml:space="preserve">); </w:t>
      </w:r>
      <w:r w:rsidRPr="003E4F42">
        <w:rPr>
          <w:rFonts w:hint="eastAsia"/>
          <w:rtl/>
        </w:rPr>
        <w:t>עניין</w:t>
      </w:r>
      <w:r w:rsidRPr="003E4F42">
        <w:rPr>
          <w:rtl/>
        </w:rPr>
        <w:t xml:space="preserve"> </w:t>
      </w:r>
      <w:r w:rsidRPr="003E4F42">
        <w:rPr>
          <w:rFonts w:ascii="Century" w:hAnsi="Century" w:cs="Miriam" w:hint="eastAsia"/>
          <w:b/>
          <w:spacing w:val="0"/>
          <w:sz w:val="22"/>
          <w:szCs w:val="24"/>
          <w:rtl/>
        </w:rPr>
        <w:t>לוונשטיין</w:t>
      </w:r>
      <w:r w:rsidRPr="003E4F42">
        <w:rPr>
          <w:rFonts w:ascii="Century" w:hAnsi="Century" w:cs="Miriam"/>
          <w:b/>
          <w:spacing w:val="0"/>
          <w:sz w:val="22"/>
          <w:szCs w:val="24"/>
          <w:rtl/>
        </w:rPr>
        <w:t>-</w:t>
      </w:r>
      <w:r w:rsidRPr="003E4F42">
        <w:rPr>
          <w:rFonts w:ascii="Century" w:hAnsi="Century" w:cs="Miriam" w:hint="eastAsia"/>
          <w:b/>
          <w:spacing w:val="0"/>
          <w:sz w:val="22"/>
          <w:szCs w:val="24"/>
          <w:rtl/>
        </w:rPr>
        <w:t>לוי</w:t>
      </w:r>
      <w:r w:rsidRPr="003E4F42">
        <w:rPr>
          <w:rtl/>
        </w:rPr>
        <w:t xml:space="preserve">, </w:t>
      </w:r>
      <w:r w:rsidRPr="003E4F42">
        <w:rPr>
          <w:rFonts w:hint="eastAsia"/>
          <w:rtl/>
        </w:rPr>
        <w:t>פסקה</w:t>
      </w:r>
      <w:r w:rsidRPr="003E4F42">
        <w:rPr>
          <w:rtl/>
        </w:rPr>
        <w:t xml:space="preserve"> 18; </w:t>
      </w:r>
      <w:r w:rsidRPr="003E4F42">
        <w:rPr>
          <w:rFonts w:hint="eastAsia"/>
          <w:rtl/>
        </w:rPr>
        <w:t>אהרן</w:t>
      </w:r>
      <w:r w:rsidRPr="003E4F42">
        <w:rPr>
          <w:rtl/>
        </w:rPr>
        <w:t xml:space="preserve"> </w:t>
      </w:r>
      <w:r w:rsidRPr="003E4F42">
        <w:rPr>
          <w:rFonts w:hint="eastAsia"/>
          <w:rtl/>
        </w:rPr>
        <w:t>ברק</w:t>
      </w:r>
      <w:r w:rsidRPr="003E4F42">
        <w:rPr>
          <w:rtl/>
        </w:rPr>
        <w:t xml:space="preserve"> </w:t>
      </w:r>
      <w:r w:rsidRPr="003E4F42">
        <w:rPr>
          <w:rFonts w:ascii="Century" w:hAnsi="Century" w:cs="Miriam" w:hint="eastAsia"/>
          <w:b/>
          <w:spacing w:val="0"/>
          <w:sz w:val="22"/>
          <w:szCs w:val="24"/>
          <w:rtl/>
        </w:rPr>
        <w:t>פרשנות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תכליתית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במשפט</w:t>
      </w:r>
      <w:r w:rsidRPr="003E4F42">
        <w:rPr>
          <w:rtl/>
        </w:rPr>
        <w:t xml:space="preserve"> 400 (2003)). </w:t>
      </w:r>
      <w:r w:rsidRPr="003E4F42">
        <w:rPr>
          <w:rFonts w:hint="eastAsia"/>
          <w:rtl/>
        </w:rPr>
        <w:t>התכלית</w:t>
      </w:r>
      <w:r w:rsidRPr="003E4F42">
        <w:rPr>
          <w:rtl/>
        </w:rPr>
        <w:t xml:space="preserve"> </w:t>
      </w:r>
      <w:r w:rsidRPr="003E4F42">
        <w:rPr>
          <w:rFonts w:hint="eastAsia"/>
          <w:rtl/>
        </w:rPr>
        <w:t>האובייקטיבית</w:t>
      </w:r>
      <w:r w:rsidRPr="003E4F42">
        <w:rPr>
          <w:rtl/>
        </w:rPr>
        <w:t xml:space="preserve"> </w:t>
      </w:r>
      <w:r w:rsidRPr="003E4F42">
        <w:rPr>
          <w:rFonts w:hint="eastAsia"/>
          <w:rtl/>
        </w:rPr>
        <w:t>היא</w:t>
      </w:r>
      <w:r w:rsidRPr="003E4F42">
        <w:rPr>
          <w:rtl/>
        </w:rPr>
        <w:t xml:space="preserve"> "</w:t>
      </w:r>
      <w:r w:rsidRPr="003E4F42">
        <w:rPr>
          <w:rFonts w:hint="eastAsia"/>
          <w:rtl/>
        </w:rPr>
        <w:t>האינטרסים</w:t>
      </w:r>
      <w:r w:rsidRPr="003E4F42">
        <w:rPr>
          <w:rtl/>
        </w:rPr>
        <w:t xml:space="preserve">, </w:t>
      </w:r>
      <w:r w:rsidRPr="003E4F42">
        <w:rPr>
          <w:rFonts w:hint="eastAsia"/>
          <w:rtl/>
        </w:rPr>
        <w:t>המטרות</w:t>
      </w:r>
      <w:r w:rsidRPr="003E4F42">
        <w:rPr>
          <w:rtl/>
        </w:rPr>
        <w:t xml:space="preserve">, </w:t>
      </w:r>
      <w:r w:rsidRPr="003E4F42">
        <w:rPr>
          <w:rFonts w:hint="eastAsia"/>
          <w:rtl/>
        </w:rPr>
        <w:t>הערכים</w:t>
      </w:r>
      <w:r w:rsidRPr="003E4F42">
        <w:rPr>
          <w:rtl/>
        </w:rPr>
        <w:t xml:space="preserve">, </w:t>
      </w:r>
      <w:r w:rsidRPr="003E4F42">
        <w:rPr>
          <w:rFonts w:hint="eastAsia"/>
          <w:rtl/>
        </w:rPr>
        <w:t>היעדים</w:t>
      </w:r>
      <w:r w:rsidRPr="003E4F42">
        <w:rPr>
          <w:rtl/>
        </w:rPr>
        <w:t xml:space="preserve">, </w:t>
      </w:r>
      <w:r w:rsidRPr="003E4F42">
        <w:rPr>
          <w:rFonts w:hint="eastAsia"/>
          <w:rtl/>
        </w:rPr>
        <w:t>המדיניות</w:t>
      </w:r>
      <w:r w:rsidRPr="003E4F42">
        <w:rPr>
          <w:rtl/>
        </w:rPr>
        <w:t xml:space="preserve"> </w:t>
      </w:r>
      <w:r w:rsidRPr="003E4F42">
        <w:rPr>
          <w:rFonts w:hint="eastAsia"/>
          <w:rtl/>
        </w:rPr>
        <w:t>והפונקציות</w:t>
      </w:r>
      <w:r w:rsidRPr="003E4F42">
        <w:rPr>
          <w:rtl/>
        </w:rPr>
        <w:t xml:space="preserve"> </w:t>
      </w:r>
      <w:r w:rsidRPr="003E4F42">
        <w:rPr>
          <w:rFonts w:hint="eastAsia"/>
          <w:rtl/>
        </w:rPr>
        <w:t>אשר</w:t>
      </w:r>
      <w:r w:rsidRPr="003E4F42">
        <w:rPr>
          <w:rtl/>
        </w:rPr>
        <w:t xml:space="preserve"> </w:t>
      </w:r>
      <w:r w:rsidRPr="003E4F42">
        <w:rPr>
          <w:rFonts w:hint="eastAsia"/>
          <w:rtl/>
        </w:rPr>
        <w:t>החוק</w:t>
      </w:r>
      <w:r w:rsidRPr="003E4F42">
        <w:rPr>
          <w:rtl/>
        </w:rPr>
        <w:t xml:space="preserve"> </w:t>
      </w:r>
      <w:r w:rsidRPr="003E4F42">
        <w:rPr>
          <w:rFonts w:hint="eastAsia"/>
          <w:rtl/>
        </w:rPr>
        <w:t>נועד</w:t>
      </w:r>
      <w:r w:rsidRPr="003E4F42">
        <w:rPr>
          <w:rtl/>
        </w:rPr>
        <w:t xml:space="preserve"> </w:t>
      </w:r>
      <w:r w:rsidRPr="003E4F42">
        <w:rPr>
          <w:rFonts w:hint="eastAsia"/>
          <w:rtl/>
        </w:rPr>
        <w:t>להגשים</w:t>
      </w:r>
      <w:r w:rsidRPr="003E4F42">
        <w:rPr>
          <w:rtl/>
        </w:rPr>
        <w:t xml:space="preserve"> </w:t>
      </w:r>
      <w:r w:rsidRPr="003E4F42">
        <w:rPr>
          <w:rFonts w:hint="eastAsia"/>
          <w:rtl/>
        </w:rPr>
        <w:t>בחברה</w:t>
      </w:r>
      <w:r w:rsidRPr="003E4F42">
        <w:rPr>
          <w:rtl/>
        </w:rPr>
        <w:t xml:space="preserve"> </w:t>
      </w:r>
      <w:r w:rsidRPr="003E4F42">
        <w:rPr>
          <w:rFonts w:hint="eastAsia"/>
          <w:rtl/>
        </w:rPr>
        <w:t>דמוקרטית</w:t>
      </w:r>
      <w:r w:rsidRPr="003E4F42">
        <w:rPr>
          <w:rtl/>
        </w:rPr>
        <w:t xml:space="preserve">"; </w:t>
      </w:r>
      <w:r w:rsidRPr="003E4F42">
        <w:rPr>
          <w:rFonts w:hint="eastAsia"/>
          <w:rtl/>
        </w:rPr>
        <w:t>כלומר</w:t>
      </w:r>
      <w:r w:rsidRPr="003E4F42">
        <w:rPr>
          <w:rtl/>
        </w:rPr>
        <w:t>, "</w:t>
      </w:r>
      <w:r w:rsidRPr="003E4F42">
        <w:rPr>
          <w:rFonts w:hint="eastAsia"/>
          <w:rtl/>
        </w:rPr>
        <w:t>התכלית</w:t>
      </w:r>
      <w:r w:rsidRPr="003E4F42">
        <w:rPr>
          <w:rtl/>
        </w:rPr>
        <w:t xml:space="preserve"> </w:t>
      </w:r>
      <w:r w:rsidRPr="003E4F42">
        <w:rPr>
          <w:rFonts w:hint="eastAsia"/>
          <w:rtl/>
        </w:rPr>
        <w:t>שקורא</w:t>
      </w:r>
      <w:r w:rsidRPr="003E4F42">
        <w:rPr>
          <w:rtl/>
        </w:rPr>
        <w:t xml:space="preserve"> '</w:t>
      </w:r>
      <w:r w:rsidRPr="003E4F42">
        <w:rPr>
          <w:rFonts w:hint="eastAsia"/>
          <w:rtl/>
        </w:rPr>
        <w:t>סביר</w:t>
      </w:r>
      <w:r w:rsidRPr="003E4F42">
        <w:rPr>
          <w:rtl/>
        </w:rPr>
        <w:t xml:space="preserve">' </w:t>
      </w:r>
      <w:r w:rsidRPr="003E4F42">
        <w:rPr>
          <w:rFonts w:hint="eastAsia"/>
          <w:rtl/>
        </w:rPr>
        <w:t>של</w:t>
      </w:r>
      <w:r w:rsidRPr="003E4F42">
        <w:rPr>
          <w:rtl/>
        </w:rPr>
        <w:t xml:space="preserve"> </w:t>
      </w:r>
      <w:r w:rsidRPr="003E4F42">
        <w:rPr>
          <w:rFonts w:hint="eastAsia"/>
          <w:rtl/>
        </w:rPr>
        <w:t>דבר</w:t>
      </w:r>
      <w:r w:rsidRPr="003E4F42">
        <w:rPr>
          <w:rtl/>
        </w:rPr>
        <w:t xml:space="preserve"> </w:t>
      </w:r>
      <w:r w:rsidRPr="003E4F42">
        <w:rPr>
          <w:rFonts w:hint="eastAsia"/>
          <w:rtl/>
        </w:rPr>
        <w:t>החקיקה</w:t>
      </w:r>
      <w:r w:rsidRPr="003E4F42">
        <w:rPr>
          <w:rtl/>
        </w:rPr>
        <w:t xml:space="preserve"> </w:t>
      </w:r>
      <w:r w:rsidRPr="003E4F42">
        <w:rPr>
          <w:rFonts w:hint="eastAsia"/>
          <w:rtl/>
        </w:rPr>
        <w:t>במדינה</w:t>
      </w:r>
      <w:r w:rsidRPr="003E4F42">
        <w:rPr>
          <w:rtl/>
        </w:rPr>
        <w:t xml:space="preserve"> </w:t>
      </w:r>
      <w:r w:rsidRPr="003E4F42">
        <w:rPr>
          <w:rFonts w:hint="eastAsia"/>
          <w:rtl/>
        </w:rPr>
        <w:t>דמוקרטית</w:t>
      </w:r>
      <w:r w:rsidRPr="003E4F42">
        <w:rPr>
          <w:rtl/>
        </w:rPr>
        <w:t xml:space="preserve"> </w:t>
      </w:r>
      <w:r w:rsidRPr="003E4F42">
        <w:rPr>
          <w:rFonts w:hint="eastAsia"/>
          <w:rtl/>
        </w:rPr>
        <w:t>ייתן</w:t>
      </w:r>
      <w:r w:rsidRPr="003E4F42">
        <w:rPr>
          <w:rtl/>
        </w:rPr>
        <w:t xml:space="preserve"> </w:t>
      </w:r>
      <w:r w:rsidRPr="003E4F42">
        <w:rPr>
          <w:rFonts w:hint="eastAsia"/>
          <w:rtl/>
        </w:rPr>
        <w:t>לו</w:t>
      </w:r>
      <w:r w:rsidRPr="003E4F42">
        <w:rPr>
          <w:rtl/>
        </w:rPr>
        <w:t xml:space="preserve"> </w:t>
      </w:r>
      <w:r w:rsidRPr="003E4F42">
        <w:rPr>
          <w:rFonts w:hint="eastAsia"/>
          <w:rtl/>
        </w:rPr>
        <w:t>בעת</w:t>
      </w:r>
      <w:r w:rsidRPr="003E4F42">
        <w:rPr>
          <w:rtl/>
        </w:rPr>
        <w:t xml:space="preserve"> </w:t>
      </w:r>
      <w:r w:rsidRPr="003E4F42">
        <w:rPr>
          <w:rFonts w:hint="eastAsia"/>
          <w:rtl/>
        </w:rPr>
        <w:t>מתן</w:t>
      </w:r>
      <w:r w:rsidRPr="003E4F42">
        <w:rPr>
          <w:rtl/>
        </w:rPr>
        <w:t xml:space="preserve"> </w:t>
      </w:r>
      <w:r w:rsidRPr="003E4F42">
        <w:rPr>
          <w:rFonts w:hint="eastAsia"/>
          <w:rtl/>
        </w:rPr>
        <w:t>הפירוש</w:t>
      </w:r>
      <w:r w:rsidRPr="003E4F42">
        <w:rPr>
          <w:rtl/>
        </w:rPr>
        <w:t>" (</w:t>
      </w:r>
      <w:r w:rsidRPr="003E4F42">
        <w:rPr>
          <w:rFonts w:hint="eastAsia"/>
          <w:rtl/>
        </w:rPr>
        <w:t>ברק</w:t>
      </w:r>
      <w:r w:rsidRPr="003E4F42">
        <w:rPr>
          <w:rtl/>
        </w:rPr>
        <w:t xml:space="preserve">, </w:t>
      </w:r>
      <w:r w:rsidRPr="003E4F42">
        <w:rPr>
          <w:rFonts w:hint="eastAsia"/>
          <w:rtl/>
        </w:rPr>
        <w:t>פרשנות</w:t>
      </w:r>
      <w:r w:rsidRPr="003E4F42">
        <w:rPr>
          <w:rtl/>
        </w:rPr>
        <w:t xml:space="preserve"> </w:t>
      </w:r>
      <w:r w:rsidRPr="003E4F42">
        <w:rPr>
          <w:rFonts w:hint="eastAsia"/>
          <w:rtl/>
        </w:rPr>
        <w:t>החקיקה</w:t>
      </w:r>
      <w:r w:rsidRPr="003E4F42">
        <w:rPr>
          <w:rtl/>
        </w:rPr>
        <w:t xml:space="preserve">, </w:t>
      </w:r>
      <w:r w:rsidRPr="003E4F42">
        <w:rPr>
          <w:rFonts w:hint="eastAsia"/>
          <w:rtl/>
        </w:rPr>
        <w:t>בעמ</w:t>
      </w:r>
      <w:r w:rsidRPr="003E4F42">
        <w:rPr>
          <w:rtl/>
        </w:rPr>
        <w:t xml:space="preserve">' 249; </w:t>
      </w:r>
      <w:r w:rsidRPr="003E4F42">
        <w:rPr>
          <w:rFonts w:hint="eastAsia"/>
          <w:rtl/>
        </w:rPr>
        <w:t>עניין</w:t>
      </w:r>
      <w:r w:rsidRPr="003E4F42">
        <w:rPr>
          <w:rtl/>
        </w:rPr>
        <w:t xml:space="preserve"> </w:t>
      </w:r>
      <w:r w:rsidRPr="003E4F42">
        <w:rPr>
          <w:rFonts w:ascii="Century" w:hAnsi="Century" w:cs="Miriam" w:hint="eastAsia"/>
          <w:b/>
          <w:spacing w:val="0"/>
          <w:sz w:val="22"/>
          <w:szCs w:val="24"/>
          <w:rtl/>
        </w:rPr>
        <w:t>לוונשטיין</w:t>
      </w:r>
      <w:r w:rsidRPr="003E4F42">
        <w:rPr>
          <w:rFonts w:ascii="Century" w:hAnsi="Century" w:cs="Miriam"/>
          <w:b/>
          <w:spacing w:val="0"/>
          <w:sz w:val="22"/>
          <w:szCs w:val="24"/>
          <w:rtl/>
        </w:rPr>
        <w:t>-</w:t>
      </w:r>
      <w:r w:rsidRPr="003E4F42">
        <w:rPr>
          <w:rFonts w:ascii="Century" w:hAnsi="Century" w:cs="Miriam" w:hint="eastAsia"/>
          <w:b/>
          <w:spacing w:val="0"/>
          <w:sz w:val="22"/>
          <w:szCs w:val="24"/>
          <w:rtl/>
        </w:rPr>
        <w:t>לוי</w:t>
      </w:r>
      <w:r w:rsidRPr="003E4F42">
        <w:rPr>
          <w:rtl/>
        </w:rPr>
        <w:t xml:space="preserve">, </w:t>
      </w:r>
      <w:r w:rsidRPr="003E4F42">
        <w:rPr>
          <w:rFonts w:hint="eastAsia"/>
          <w:rtl/>
        </w:rPr>
        <w:t>פסקה</w:t>
      </w:r>
      <w:r w:rsidRPr="003E4F42">
        <w:rPr>
          <w:rtl/>
        </w:rPr>
        <w:t xml:space="preserve"> 24; </w:t>
      </w:r>
      <w:r w:rsidRPr="003E4F42">
        <w:rPr>
          <w:rFonts w:hint="cs"/>
          <w:rtl/>
        </w:rPr>
        <w:t xml:space="preserve">בג"ץ 7803/06 </w:t>
      </w:r>
      <w:r w:rsidRPr="003E4F42">
        <w:rPr>
          <w:rFonts w:ascii="Century" w:hAnsi="Century" w:cs="Miriam" w:hint="eastAsia"/>
          <w:b/>
          <w:spacing w:val="0"/>
          <w:sz w:val="22"/>
          <w:szCs w:val="24"/>
          <w:rtl/>
        </w:rPr>
        <w:t>אבו</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ערפה</w:t>
      </w:r>
      <w:r w:rsidRPr="003E4F42">
        <w:rPr>
          <w:rFonts w:ascii="Century" w:hAnsi="Century" w:cs="Miriam" w:hint="cs"/>
          <w:b/>
          <w:spacing w:val="0"/>
          <w:sz w:val="22"/>
          <w:szCs w:val="24"/>
          <w:rtl/>
        </w:rPr>
        <w:t xml:space="preserve"> נ' שר הפנים</w:t>
      </w:r>
      <w:r w:rsidRPr="003E4F42">
        <w:rPr>
          <w:rtl/>
        </w:rPr>
        <w:t xml:space="preserve">, </w:t>
      </w:r>
      <w:r w:rsidRPr="003E4F42">
        <w:rPr>
          <w:rFonts w:hint="eastAsia"/>
          <w:rtl/>
        </w:rPr>
        <w:t>פסקה</w:t>
      </w:r>
      <w:r w:rsidRPr="003E4F42">
        <w:rPr>
          <w:rtl/>
        </w:rPr>
        <w:t xml:space="preserve"> 30 </w:t>
      </w:r>
      <w:r w:rsidRPr="003E4F42">
        <w:rPr>
          <w:rFonts w:hint="cs"/>
          <w:rtl/>
        </w:rPr>
        <w:t xml:space="preserve">לפסק דיני (13.9.2017) (להלן: עניין </w:t>
      </w:r>
      <w:r w:rsidRPr="003E4F42">
        <w:rPr>
          <w:rFonts w:ascii="Century" w:hAnsi="Century" w:cs="Miriam" w:hint="cs"/>
          <w:b/>
          <w:spacing w:val="0"/>
          <w:sz w:val="22"/>
          <w:szCs w:val="24"/>
          <w:rtl/>
        </w:rPr>
        <w:t>אבו ערפה</w:t>
      </w:r>
      <w:r w:rsidRPr="003E4F42">
        <w:rPr>
          <w:rFonts w:ascii="Century" w:hAnsi="Century" w:hint="cs"/>
          <w:sz w:val="22"/>
          <w:rtl/>
        </w:rPr>
        <w:t>)</w:t>
      </w:r>
      <w:r w:rsidRPr="003E4F42">
        <w:rPr>
          <w:rtl/>
        </w:rPr>
        <w:t xml:space="preserve">; </w:t>
      </w:r>
      <w:r w:rsidRPr="003E4F42">
        <w:rPr>
          <w:rFonts w:hint="eastAsia"/>
          <w:rtl/>
        </w:rPr>
        <w:t>בג</w:t>
      </w:r>
      <w:r w:rsidRPr="003E4F42">
        <w:rPr>
          <w:rtl/>
        </w:rPr>
        <w:t>"</w:t>
      </w:r>
      <w:r w:rsidRPr="003E4F42">
        <w:rPr>
          <w:rFonts w:hint="eastAsia"/>
          <w:rtl/>
        </w:rPr>
        <w:t>ץ</w:t>
      </w:r>
      <w:r w:rsidRPr="003E4F42">
        <w:rPr>
          <w:rtl/>
        </w:rPr>
        <w:t xml:space="preserve"> 273/10 </w:t>
      </w:r>
      <w:r w:rsidRPr="003E4F42">
        <w:rPr>
          <w:rFonts w:ascii="Century" w:hAnsi="Century" w:cs="Miriam" w:hint="eastAsia"/>
          <w:b/>
          <w:spacing w:val="0"/>
          <w:sz w:val="22"/>
          <w:szCs w:val="24"/>
          <w:rtl/>
        </w:rPr>
        <w:t>אלמיזרק</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בית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הדין</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הארצי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לעבודה</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ירושלים</w:t>
      </w:r>
      <w:r w:rsidRPr="003E4F42">
        <w:rPr>
          <w:rtl/>
        </w:rPr>
        <w:t xml:space="preserve">, </w:t>
      </w:r>
      <w:r w:rsidRPr="003E4F42">
        <w:rPr>
          <w:rFonts w:hint="eastAsia"/>
          <w:rtl/>
        </w:rPr>
        <w:t>פסקה</w:t>
      </w:r>
      <w:r w:rsidRPr="003E4F42">
        <w:rPr>
          <w:rtl/>
        </w:rPr>
        <w:t xml:space="preserve"> 13 (2.9.2011)</w:t>
      </w:r>
      <w:r w:rsidRPr="003E4F42">
        <w:rPr>
          <w:rFonts w:hint="cs"/>
          <w:rtl/>
        </w:rPr>
        <w:t xml:space="preserve"> (להלן: עניין </w:t>
      </w:r>
      <w:r w:rsidRPr="003E4F42">
        <w:rPr>
          <w:rFonts w:ascii="Century" w:hAnsi="Century" w:cs="Miriam" w:hint="cs"/>
          <w:b/>
          <w:spacing w:val="0"/>
          <w:sz w:val="22"/>
          <w:szCs w:val="24"/>
          <w:rtl/>
        </w:rPr>
        <w:t>אלמיזרק</w:t>
      </w:r>
      <w:r w:rsidRPr="003E4F42">
        <w:rPr>
          <w:rFonts w:hint="cs"/>
          <w:rtl/>
        </w:rPr>
        <w:t>)</w:t>
      </w:r>
      <w:r w:rsidRPr="003E4F42">
        <w:rPr>
          <w:rtl/>
        </w:rPr>
        <w:t>).</w:t>
      </w:r>
      <w:r w:rsidRPr="003E4F42">
        <w:rPr>
          <w:rFonts w:hint="cs"/>
          <w:rtl/>
        </w:rPr>
        <w:t xml:space="preserve">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לבחינת תכליות אלו נפנה כעת. </w:t>
      </w:r>
    </w:p>
    <w:p w:rsidR="001E6B43" w:rsidRPr="003E4F42" w:rsidRDefault="001E6B43" w:rsidP="001E6B43">
      <w:pPr>
        <w:pStyle w:val="Ruller4"/>
        <w:numPr>
          <w:ilvl w:val="0"/>
          <w:numId w:val="0"/>
        </w:numPr>
        <w:rPr>
          <w:rtl/>
        </w:rPr>
      </w:pPr>
    </w:p>
    <w:p w:rsidR="001E6B43" w:rsidRPr="003E4F42" w:rsidRDefault="001E6B43" w:rsidP="001E6B43">
      <w:pPr>
        <w:pStyle w:val="1"/>
        <w:rPr>
          <w:rtl/>
        </w:rPr>
      </w:pPr>
      <w:r w:rsidRPr="003E4F42">
        <w:rPr>
          <w:rFonts w:hint="cs"/>
          <w:rtl/>
        </w:rPr>
        <w:t xml:space="preserve">תכלית סובייקטיבית </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pPr>
      <w:r w:rsidRPr="003E4F42">
        <w:rPr>
          <w:rFonts w:hint="cs"/>
          <w:rtl/>
        </w:rPr>
        <w:t xml:space="preserve">על התכלית הסובייקטיבית של תיקון מס' 53 ניתן ללמוד בנקל מהליכי חקיקתו (ראו באופן כללי, מני רבים: עע"ם 4846/20 </w:t>
      </w:r>
      <w:r w:rsidRPr="003E4F42">
        <w:rPr>
          <w:rFonts w:ascii="Century" w:hAnsi="Century" w:cs="Miriam" w:hint="cs"/>
          <w:b/>
          <w:spacing w:val="0"/>
          <w:sz w:val="22"/>
          <w:szCs w:val="24"/>
          <w:rtl/>
        </w:rPr>
        <w:t>פז חברת נפט בע"מ נ' יושב ראש מועצת שמאי מקרקעין</w:t>
      </w:r>
      <w:r w:rsidRPr="003E4F42">
        <w:rPr>
          <w:rFonts w:ascii="Century" w:hAnsi="Century" w:hint="cs"/>
          <w:sz w:val="22"/>
          <w:rtl/>
        </w:rPr>
        <w:t>, פסקה 17 (30.8.2022)</w:t>
      </w:r>
      <w:r w:rsidRPr="003E4F42">
        <w:rPr>
          <w:rFonts w:hint="cs"/>
          <w:rtl/>
        </w:rPr>
        <w:t xml:space="preserve">; עניין </w:t>
      </w:r>
      <w:r w:rsidRPr="003E4F42">
        <w:rPr>
          <w:rFonts w:ascii="Century" w:hAnsi="Century" w:cs="Miriam" w:hint="cs"/>
          <w:b/>
          <w:spacing w:val="0"/>
          <w:sz w:val="22"/>
          <w:szCs w:val="24"/>
          <w:rtl/>
        </w:rPr>
        <w:t>יוניון מוטורס</w:t>
      </w:r>
      <w:r w:rsidRPr="003E4F42">
        <w:rPr>
          <w:rFonts w:ascii="Century" w:hAnsi="Century" w:hint="cs"/>
          <w:sz w:val="22"/>
          <w:rtl/>
        </w:rPr>
        <w:t xml:space="preserve">, פסקה 16; עניין </w:t>
      </w:r>
      <w:r w:rsidRPr="003E4F42">
        <w:rPr>
          <w:rFonts w:ascii="Century" w:hAnsi="Century" w:cs="Miriam" w:hint="cs"/>
          <w:b/>
          <w:spacing w:val="0"/>
          <w:sz w:val="22"/>
          <w:szCs w:val="24"/>
          <w:rtl/>
        </w:rPr>
        <w:t>אבו ערפה</w:t>
      </w:r>
      <w:r w:rsidRPr="003E4F42">
        <w:rPr>
          <w:rFonts w:ascii="Century" w:hAnsi="Century" w:hint="cs"/>
          <w:sz w:val="22"/>
          <w:rtl/>
        </w:rPr>
        <w:t>, פסקה 31</w:t>
      </w:r>
      <w:r w:rsidRPr="003E4F42">
        <w:rPr>
          <w:rFonts w:hint="cs"/>
          <w:rtl/>
        </w:rPr>
        <w:t xml:space="preserve">). כפי שאבאר להלן, את כוונת המחוקק בתיקון מס' 53 ניתן להציג בשתי רמות הפשטה: ראשית, במישור העקרוני, ביקש המחוקק בגדר התיקון לקדם את הזכות להיבחר (של חברי ויושבי ראש ועדה ממונה) ואת הזכות לבחור (לאפשר לתושבי רשות מקומית לבחור את חברי ויושבי ראש הוועדה הממונה); ושנית, במישור הפרסונלי, ביקש המחוקק לאפשר לבועז יוסף להתמודד בבחירות הקרובות לראשות עיריית טבריה. לצד זאת, דומה כי המחוקק לא התכוון לשנות את כללי הבחירות בתוך תקופת הבחירות לרשויות המקומיות (הגם שבהקשר זה התגלעה מחלוקת בשאלה מתי החלה תקופה זו). </w:t>
      </w:r>
    </w:p>
    <w:p w:rsidR="001E6B43" w:rsidRPr="003E4F42" w:rsidRDefault="001E6B43" w:rsidP="001E6B43">
      <w:pPr>
        <w:pStyle w:val="Ruller4"/>
        <w:numPr>
          <w:ilvl w:val="0"/>
          <w:numId w:val="0"/>
        </w:numPr>
      </w:pPr>
    </w:p>
    <w:p w:rsidR="001E6B43" w:rsidRPr="003E4F42" w:rsidRDefault="001E6B43" w:rsidP="00730591">
      <w:pPr>
        <w:pStyle w:val="Ruller4"/>
        <w:rPr>
          <w:rtl/>
        </w:rPr>
      </w:pPr>
      <w:r w:rsidRPr="003E4F42">
        <w:rPr>
          <w:rFonts w:hint="cs"/>
          <w:rtl/>
        </w:rPr>
        <w:t>כאמור לעיל, בחודש מאי 2023 הונחה על שולחן הכנסת הצעת החוק שהולידה את תיקון מס' 53 (יוער כי הצעת החוק הייתה הצעת חוק פרטית, וחלק מיוזמיה משכו את חתימתם בשלב מאוחר יותר). מדברי ההסבר עולה כי כוונת המחוקק הייתה ביטול ההגבלה על הזכות לבחור ולהיבחר שנקבעה במסגרת תיקון מס' 39. כך, צוין בדברי ההסבר להצעת החוק: "</w:t>
      </w:r>
      <w:r w:rsidRPr="003E4F42">
        <w:rPr>
          <w:rtl/>
        </w:rPr>
        <w:t xml:space="preserve">אין הצדקה להטלת מגבלות יתרות על הזכות להיבחר ובעיקר ביחס לאוכלוסייה איכותית ומשכילה שיכולה לתרום רבות לרשות מקומית המצויה במשבר כלכלי ומשום כך מונתה לה ועדה ממונה </w:t>
      </w:r>
      <w:r w:rsidRPr="003E4F42">
        <w:rPr>
          <w:rFonts w:hint="cs"/>
          <w:rtl/>
        </w:rPr>
        <w:t>מ</w:t>
      </w:r>
      <w:r w:rsidRPr="003E4F42">
        <w:rPr>
          <w:rtl/>
        </w:rPr>
        <w:t>לכתחילה. הזכות להיבחר היא מהזכויות הבסיסיות והחשובות בדמוקרטיה ויש להגבילה אך ורק במקרי קיצון</w:t>
      </w:r>
      <w:r w:rsidRPr="003E4F42">
        <w:rPr>
          <w:rFonts w:hint="cs"/>
          <w:rtl/>
        </w:rPr>
        <w:t>". ואולם, כבר במסגרת הדיון הראשון בהצעת החוק, הוא הדיון בבקשת מציע הצעת החוק לקצר את תקופת ההנחה (ראו גם פסקה</w:t>
      </w:r>
      <w:r w:rsidR="00730591" w:rsidRPr="003E4F42">
        <w:rPr>
          <w:rFonts w:hint="cs"/>
          <w:rtl/>
        </w:rPr>
        <w:t xml:space="preserve"> 7</w:t>
      </w:r>
      <w:r w:rsidR="00DC5983" w:rsidRPr="003E4F42">
        <w:rPr>
          <w:rFonts w:hint="cs"/>
          <w:rtl/>
        </w:rPr>
        <w:t xml:space="preserve"> </w:t>
      </w:r>
      <w:r w:rsidRPr="003E4F42">
        <w:rPr>
          <w:rFonts w:hint="cs"/>
          <w:rtl/>
        </w:rPr>
        <w:t xml:space="preserve">לעיל) התעוררה במפורש גם תכליתו הפרסונלית של התיקון: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 xml:space="preserve">"עמית הלוי (הליכוד): </w:t>
      </w:r>
    </w:p>
    <w:p w:rsidR="001E6B43" w:rsidRPr="003E4F42" w:rsidRDefault="001E6B43" w:rsidP="001E6B43">
      <w:pPr>
        <w:pStyle w:val="Ruller5"/>
        <w:rPr>
          <w:rtl/>
        </w:rPr>
      </w:pPr>
      <w:r w:rsidRPr="003E4F42">
        <w:rPr>
          <w:rFonts w:hint="cs"/>
          <w:rtl/>
        </w:rPr>
        <w:t xml:space="preserve">[...] </w:t>
      </w:r>
      <w:r w:rsidRPr="003E4F42">
        <w:rPr>
          <w:rFonts w:hint="cs"/>
          <w:rtl/>
          <w:lang w:val="en-GB"/>
        </w:rPr>
        <w:t xml:space="preserve">מהותו של החוק הזה, שזה דבר שאני עומד מאחוריו מבחינה מוסרית ומבחינה משטרית, הוא לחזור למצב שהיה לפני 2008, לפני התיקון שעשתה בזמנו קואליציית אולמרט - לאפשר לתושבי רשויות מקומיות לבחור </w:t>
      </w:r>
      <w:bookmarkStart w:id="48" w:name="_ETM_Q1_872560"/>
      <w:bookmarkEnd w:id="48"/>
      <w:r w:rsidRPr="003E4F42">
        <w:rPr>
          <w:rFonts w:hint="cs"/>
          <w:rtl/>
          <w:lang w:val="en-GB"/>
        </w:rPr>
        <w:t xml:space="preserve">ברשויות שמונה להן ממונה. </w:t>
      </w:r>
      <w:bookmarkStart w:id="49" w:name="_ETM_Q1_884840"/>
      <w:bookmarkStart w:id="50" w:name="_ETM_Q1_880748"/>
      <w:bookmarkStart w:id="51" w:name="_ETM_Q1_891694"/>
      <w:bookmarkEnd w:id="49"/>
      <w:bookmarkEnd w:id="50"/>
      <w:bookmarkEnd w:id="51"/>
      <w:r w:rsidRPr="003E4F42">
        <w:rPr>
          <w:rFonts w:hint="cs"/>
          <w:rtl/>
          <w:lang w:val="en-GB"/>
        </w:rPr>
        <w:t xml:space="preserve">הערך של 50,000 תושבי </w:t>
      </w:r>
      <w:bookmarkStart w:id="52" w:name="_ETM_Q1_908385"/>
      <w:bookmarkEnd w:id="52"/>
      <w:r w:rsidRPr="003E4F42">
        <w:rPr>
          <w:rFonts w:hint="cs"/>
          <w:rtl/>
          <w:lang w:val="en-GB"/>
        </w:rPr>
        <w:t>טבריה שיבואו לקלפי ויוכלו לבחור את המועמד הטוב בעיניהם צריך להיות הערך המכריע בדמוקרטיה</w:t>
      </w:r>
      <w:r w:rsidRPr="003E4F42">
        <w:rPr>
          <w:rFonts w:hint="cs"/>
          <w:rtl/>
        </w:rPr>
        <w:t xml:space="preserve">" (פרוטוקול ישיבת ועדת הכנסת, הכנסת ה-25, 4 (5.6.2023); להלן: </w:t>
      </w:r>
      <w:r w:rsidRPr="003E4F42">
        <w:rPr>
          <w:rFonts w:ascii="Century" w:hAnsi="Century" w:cs="Miriam" w:hint="cs"/>
          <w:b/>
          <w:spacing w:val="0"/>
          <w:szCs w:val="24"/>
          <w:rtl/>
        </w:rPr>
        <w:t>פרוטוקול הישיבה מיום 5.6.2023</w:t>
      </w:r>
      <w:r w:rsidRPr="003E4F42">
        <w:rPr>
          <w:rFonts w:hint="cs"/>
          <w:rtl/>
        </w:rPr>
        <w:t>).</w:t>
      </w:r>
    </w:p>
    <w:p w:rsidR="001E6B43" w:rsidRPr="003E4F42" w:rsidRDefault="001E6B43" w:rsidP="001E6B43">
      <w:pPr>
        <w:pStyle w:val="Ruller5"/>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בהמשך, הועלה לפני חבר הכנסת הלוי הממד הפרסונלי של הצעת החוק (הן על ידי חברי כנסת מהאופוזיציה, הן על ידי היועצת המשפטית לוועדת הכנסת) ובתגובה הבהיר: </w:t>
      </w:r>
    </w:p>
    <w:p w:rsidR="001E6B43" w:rsidRPr="003E4F42" w:rsidRDefault="001E6B43" w:rsidP="001E6B43">
      <w:pPr>
        <w:pStyle w:val="Ruller41"/>
        <w:rPr>
          <w:rtl/>
        </w:rPr>
      </w:pPr>
    </w:p>
    <w:p w:rsidR="001E6B43" w:rsidRPr="003E4F42" w:rsidRDefault="001E6B43" w:rsidP="001E6B43">
      <w:pPr>
        <w:pStyle w:val="Ruller5"/>
      </w:pPr>
      <w:r w:rsidRPr="003E4F42">
        <w:rPr>
          <w:rFonts w:hint="cs"/>
          <w:rtl/>
        </w:rPr>
        <w:t>"</w:t>
      </w:r>
      <w:r w:rsidRPr="003E4F42">
        <w:rPr>
          <w:rFonts w:hint="eastAsia"/>
          <w:rtl/>
        </w:rPr>
        <w:t>המניע</w:t>
      </w:r>
      <w:r w:rsidRPr="003E4F42">
        <w:rPr>
          <w:rtl/>
        </w:rPr>
        <w:t xml:space="preserve"> </w:t>
      </w:r>
      <w:r w:rsidRPr="003E4F42">
        <w:rPr>
          <w:rFonts w:hint="eastAsia"/>
          <w:rtl/>
        </w:rPr>
        <w:t>הוא</w:t>
      </w:r>
      <w:r w:rsidRPr="003E4F42">
        <w:rPr>
          <w:rtl/>
        </w:rPr>
        <w:t xml:space="preserve"> </w:t>
      </w:r>
      <w:r w:rsidRPr="003E4F42">
        <w:rPr>
          <w:rFonts w:hint="eastAsia"/>
          <w:rtl/>
        </w:rPr>
        <w:t>מניע</w:t>
      </w:r>
      <w:r w:rsidRPr="003E4F42">
        <w:rPr>
          <w:rtl/>
        </w:rPr>
        <w:t xml:space="preserve"> </w:t>
      </w:r>
      <w:r w:rsidRPr="003E4F42">
        <w:rPr>
          <w:rFonts w:hint="eastAsia"/>
          <w:rtl/>
        </w:rPr>
        <w:t>עקרוני</w:t>
      </w:r>
      <w:r w:rsidRPr="003E4F42">
        <w:rPr>
          <w:rtl/>
        </w:rPr>
        <w:t xml:space="preserve">, </w:t>
      </w:r>
      <w:r w:rsidRPr="003E4F42">
        <w:rPr>
          <w:rFonts w:hint="eastAsia"/>
          <w:rtl/>
        </w:rPr>
        <w:t>הוא</w:t>
      </w:r>
      <w:r w:rsidRPr="003E4F42">
        <w:rPr>
          <w:rtl/>
        </w:rPr>
        <w:t xml:space="preserve"> </w:t>
      </w:r>
      <w:r w:rsidRPr="003E4F42">
        <w:rPr>
          <w:rFonts w:hint="eastAsia"/>
          <w:rtl/>
        </w:rPr>
        <w:t>לא</w:t>
      </w:r>
      <w:r w:rsidRPr="003E4F42">
        <w:rPr>
          <w:rtl/>
        </w:rPr>
        <w:t xml:space="preserve"> </w:t>
      </w:r>
      <w:r w:rsidRPr="003E4F42">
        <w:rPr>
          <w:rFonts w:hint="eastAsia"/>
          <w:rtl/>
        </w:rPr>
        <w:t>מניע</w:t>
      </w:r>
      <w:r w:rsidRPr="003E4F42">
        <w:rPr>
          <w:rtl/>
        </w:rPr>
        <w:t xml:space="preserve"> </w:t>
      </w:r>
      <w:r w:rsidRPr="003E4F42">
        <w:rPr>
          <w:rFonts w:hint="eastAsia"/>
          <w:rtl/>
        </w:rPr>
        <w:t>פרסונאלי</w:t>
      </w:r>
      <w:r w:rsidRPr="003E4F42">
        <w:rPr>
          <w:rtl/>
        </w:rPr>
        <w:t xml:space="preserve">, </w:t>
      </w:r>
      <w:r w:rsidRPr="003E4F42">
        <w:rPr>
          <w:rFonts w:hint="eastAsia"/>
          <w:rtl/>
        </w:rPr>
        <w:t>הוא</w:t>
      </w:r>
      <w:r w:rsidRPr="003E4F42">
        <w:rPr>
          <w:rtl/>
        </w:rPr>
        <w:t xml:space="preserve"> </w:t>
      </w:r>
      <w:r w:rsidRPr="003E4F42">
        <w:rPr>
          <w:rFonts w:hint="eastAsia"/>
          <w:rtl/>
        </w:rPr>
        <w:t>לא</w:t>
      </w:r>
      <w:r w:rsidRPr="003E4F42">
        <w:rPr>
          <w:rtl/>
        </w:rPr>
        <w:t xml:space="preserve"> </w:t>
      </w:r>
      <w:r w:rsidRPr="003E4F42">
        <w:rPr>
          <w:rFonts w:hint="eastAsia"/>
          <w:rtl/>
        </w:rPr>
        <w:t>נוגע</w:t>
      </w:r>
      <w:r w:rsidRPr="003E4F42">
        <w:rPr>
          <w:rtl/>
        </w:rPr>
        <w:t xml:space="preserve"> </w:t>
      </w:r>
      <w:r w:rsidRPr="003E4F42">
        <w:rPr>
          <w:rFonts w:hint="eastAsia"/>
          <w:rtl/>
        </w:rPr>
        <w:t>לאדם</w:t>
      </w:r>
      <w:r w:rsidRPr="003E4F42">
        <w:rPr>
          <w:rtl/>
        </w:rPr>
        <w:t xml:space="preserve"> </w:t>
      </w:r>
      <w:r w:rsidRPr="003E4F42">
        <w:rPr>
          <w:rFonts w:hint="eastAsia"/>
          <w:rtl/>
        </w:rPr>
        <w:t>מסוים</w:t>
      </w:r>
      <w:r w:rsidRPr="003E4F42">
        <w:rPr>
          <w:rtl/>
        </w:rPr>
        <w:t xml:space="preserve">. </w:t>
      </w:r>
      <w:r w:rsidRPr="003E4F42">
        <w:rPr>
          <w:rFonts w:hint="eastAsia"/>
          <w:rtl/>
        </w:rPr>
        <w:t>אם</w:t>
      </w:r>
      <w:r w:rsidRPr="003E4F42">
        <w:rPr>
          <w:rtl/>
        </w:rPr>
        <w:t xml:space="preserve"> </w:t>
      </w:r>
      <w:r w:rsidRPr="003E4F42">
        <w:rPr>
          <w:rFonts w:hint="eastAsia"/>
          <w:rtl/>
        </w:rPr>
        <w:t>כבר</w:t>
      </w:r>
      <w:r w:rsidRPr="003E4F42">
        <w:rPr>
          <w:rtl/>
        </w:rPr>
        <w:t xml:space="preserve"> </w:t>
      </w:r>
      <w:r w:rsidRPr="003E4F42">
        <w:rPr>
          <w:rFonts w:hint="eastAsia"/>
          <w:rtl/>
        </w:rPr>
        <w:t>הוא</w:t>
      </w:r>
      <w:r w:rsidRPr="003E4F42">
        <w:rPr>
          <w:rtl/>
        </w:rPr>
        <w:t xml:space="preserve"> </w:t>
      </w:r>
      <w:r w:rsidRPr="003E4F42">
        <w:rPr>
          <w:rFonts w:hint="eastAsia"/>
          <w:rtl/>
        </w:rPr>
        <w:t>נוגע</w:t>
      </w:r>
      <w:r w:rsidRPr="003E4F42">
        <w:rPr>
          <w:rtl/>
        </w:rPr>
        <w:t xml:space="preserve"> </w:t>
      </w:r>
      <w:r w:rsidRPr="003E4F42">
        <w:rPr>
          <w:rFonts w:hint="eastAsia"/>
          <w:rtl/>
        </w:rPr>
        <w:t>ל</w:t>
      </w:r>
      <w:r w:rsidRPr="003E4F42">
        <w:rPr>
          <w:rtl/>
        </w:rPr>
        <w:t xml:space="preserve">-50,000 </w:t>
      </w:r>
      <w:r w:rsidRPr="003E4F42">
        <w:rPr>
          <w:rFonts w:hint="eastAsia"/>
          <w:rtl/>
        </w:rPr>
        <w:t>תושבי</w:t>
      </w:r>
      <w:r w:rsidRPr="003E4F42">
        <w:rPr>
          <w:rtl/>
        </w:rPr>
        <w:t xml:space="preserve"> </w:t>
      </w:r>
      <w:r w:rsidRPr="003E4F42">
        <w:rPr>
          <w:rFonts w:hint="eastAsia"/>
          <w:rtl/>
        </w:rPr>
        <w:t>טבריה</w:t>
      </w:r>
      <w:r w:rsidRPr="003E4F42">
        <w:rPr>
          <w:rtl/>
        </w:rPr>
        <w:t xml:space="preserve"> </w:t>
      </w:r>
      <w:r w:rsidRPr="003E4F42">
        <w:rPr>
          <w:rFonts w:hint="eastAsia"/>
          <w:rtl/>
        </w:rPr>
        <w:t>שזכותם</w:t>
      </w:r>
      <w:r w:rsidRPr="003E4F42">
        <w:rPr>
          <w:rtl/>
        </w:rPr>
        <w:t xml:space="preserve"> </w:t>
      </w:r>
      <w:r w:rsidRPr="003E4F42">
        <w:rPr>
          <w:rFonts w:hint="eastAsia"/>
          <w:rtl/>
        </w:rPr>
        <w:t>לבחור</w:t>
      </w:r>
      <w:r w:rsidRPr="003E4F42">
        <w:rPr>
          <w:rtl/>
        </w:rPr>
        <w:t xml:space="preserve"> </w:t>
      </w:r>
      <w:r w:rsidRPr="003E4F42">
        <w:rPr>
          <w:rFonts w:hint="eastAsia"/>
          <w:rtl/>
        </w:rPr>
        <w:t>את</w:t>
      </w:r>
      <w:r w:rsidRPr="003E4F42">
        <w:rPr>
          <w:rtl/>
        </w:rPr>
        <w:t xml:space="preserve"> </w:t>
      </w:r>
      <w:r w:rsidRPr="003E4F42">
        <w:rPr>
          <w:rFonts w:hint="eastAsia"/>
          <w:rtl/>
        </w:rPr>
        <w:t>הטוב</w:t>
      </w:r>
      <w:r w:rsidRPr="003E4F42">
        <w:rPr>
          <w:rtl/>
        </w:rPr>
        <w:t xml:space="preserve"> </w:t>
      </w:r>
      <w:r w:rsidRPr="003E4F42">
        <w:rPr>
          <w:rFonts w:hint="eastAsia"/>
          <w:rtl/>
        </w:rPr>
        <w:t>ביניהם</w:t>
      </w:r>
      <w:r w:rsidRPr="003E4F42">
        <w:rPr>
          <w:rFonts w:hint="cs"/>
          <w:rtl/>
        </w:rPr>
        <w:t>" (שם, בעמ' 5).</w:t>
      </w:r>
    </w:p>
    <w:p w:rsidR="001E6B43" w:rsidRPr="003E4F42" w:rsidRDefault="001E6B43" w:rsidP="001E6B43">
      <w:pPr>
        <w:pStyle w:val="Ruller4"/>
        <w:numPr>
          <w:ilvl w:val="0"/>
          <w:numId w:val="0"/>
        </w:numPr>
        <w:rPr>
          <w:rtl/>
        </w:rPr>
      </w:pPr>
    </w:p>
    <w:p w:rsidR="001E6B43" w:rsidRPr="003E4F42" w:rsidRDefault="001E6B43" w:rsidP="001E6B43">
      <w:pPr>
        <w:pStyle w:val="Ruller41"/>
        <w:rPr>
          <w:rtl/>
        </w:rPr>
      </w:pPr>
      <w:r w:rsidRPr="003E4F42">
        <w:rPr>
          <w:rtl/>
        </w:rPr>
        <w:tab/>
      </w:r>
      <w:r w:rsidRPr="003E4F42">
        <w:rPr>
          <w:rFonts w:hint="cs"/>
          <w:rtl/>
        </w:rPr>
        <w:t xml:space="preserve">חברת הכנסת טלי גוטליב (מהקואליציה) הביעה את הסתייגותה מהרובד הפרסונלי המובהק של הצעת החוק: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lang w:val="en-GB"/>
        </w:rPr>
        <w:t xml:space="preserve">"בשנת 2008 מצאו לחוקק את תקופת הצינון. מה </w:t>
      </w:r>
      <w:bookmarkStart w:id="53" w:name="_ETM_Q1_3658635"/>
      <w:bookmarkEnd w:id="53"/>
      <w:r w:rsidRPr="003E4F42">
        <w:rPr>
          <w:rFonts w:hint="cs"/>
          <w:rtl/>
          <w:lang w:val="en-GB"/>
        </w:rPr>
        <w:t xml:space="preserve">בעצם יוצרת תקופת צינון? כשאני ממנה יושב ראש ועדה </w:t>
      </w:r>
      <w:bookmarkStart w:id="54" w:name="_ETM_Q1_3655733"/>
      <w:bookmarkEnd w:id="54"/>
      <w:r w:rsidRPr="003E4F42">
        <w:rPr>
          <w:rFonts w:hint="cs"/>
          <w:rtl/>
          <w:lang w:val="en-GB"/>
        </w:rPr>
        <w:t xml:space="preserve">ממנה או ועדה קרואה, </w:t>
      </w:r>
      <w:bookmarkStart w:id="55" w:name="_ETM_Q1_3663495"/>
      <w:bookmarkEnd w:id="55"/>
      <w:r w:rsidRPr="003E4F42">
        <w:rPr>
          <w:rFonts w:hint="cs"/>
          <w:rtl/>
          <w:lang w:val="en-GB"/>
        </w:rPr>
        <w:t xml:space="preserve">הוא מתמנה, הוא לא עובר את כל התהליך </w:t>
      </w:r>
      <w:bookmarkStart w:id="56" w:name="_ETM_Q1_3664804"/>
      <w:bookmarkEnd w:id="56"/>
      <w:r w:rsidRPr="003E4F42">
        <w:rPr>
          <w:rFonts w:hint="cs"/>
          <w:rtl/>
          <w:lang w:val="en-GB"/>
        </w:rPr>
        <w:t xml:space="preserve">של בחירות, של ללכת לדבר עם האזרחים, לקבל את האמון </w:t>
      </w:r>
      <w:bookmarkStart w:id="57" w:name="_ETM_Q1_3667241"/>
      <w:bookmarkEnd w:id="57"/>
      <w:r w:rsidRPr="003E4F42">
        <w:rPr>
          <w:rFonts w:hint="cs"/>
          <w:rtl/>
          <w:lang w:val="en-GB"/>
        </w:rPr>
        <w:t xml:space="preserve">שלהם, להבטיח להם הבטחות ולקיים את </w:t>
      </w:r>
      <w:r w:rsidRPr="003E4F42">
        <w:rPr>
          <w:rFonts w:hint="cs"/>
          <w:rtl/>
          <w:lang w:val="en-GB"/>
        </w:rPr>
        <w:lastRenderedPageBreak/>
        <w:t xml:space="preserve">ההבטחות האלו. הוא משתמש </w:t>
      </w:r>
      <w:bookmarkStart w:id="58" w:name="_ETM_Q1_3675242"/>
      <w:bookmarkEnd w:id="58"/>
      <w:r w:rsidRPr="003E4F42">
        <w:rPr>
          <w:rFonts w:hint="cs"/>
          <w:rtl/>
          <w:lang w:val="en-GB"/>
        </w:rPr>
        <w:t xml:space="preserve">במנגנון כיו"ר ועדה ממונה, לא כראש עיר. </w:t>
      </w:r>
      <w:bookmarkStart w:id="59" w:name="_ETM_Q1_3679635"/>
      <w:bookmarkEnd w:id="59"/>
      <w:r w:rsidRPr="003E4F42">
        <w:rPr>
          <w:rFonts w:hint="cs"/>
          <w:rtl/>
          <w:lang w:val="en-GB"/>
        </w:rPr>
        <w:t xml:space="preserve">עולה ריח מאוד מאוד רע מהצעת חוק שמוגשת </w:t>
      </w:r>
      <w:bookmarkStart w:id="60" w:name="_ETM_Q1_3684679"/>
      <w:bookmarkEnd w:id="60"/>
      <w:r w:rsidRPr="003E4F42">
        <w:rPr>
          <w:rFonts w:hint="cs"/>
          <w:rtl/>
          <w:lang w:val="en-GB"/>
        </w:rPr>
        <w:t xml:space="preserve">כדי להקל פרסונאלית על מועמד. [...] אתם מקצרים </w:t>
      </w:r>
      <w:bookmarkStart w:id="61" w:name="_ETM_Q1_3709233"/>
      <w:bookmarkEnd w:id="61"/>
      <w:r w:rsidRPr="003E4F42">
        <w:rPr>
          <w:rFonts w:hint="cs"/>
          <w:rtl/>
          <w:lang w:val="en-GB"/>
        </w:rPr>
        <w:t xml:space="preserve">את ההליכים, מביאים לוועדת הכנסת </w:t>
      </w:r>
      <w:bookmarkStart w:id="62" w:name="_ETM_Q1_3710892"/>
      <w:bookmarkEnd w:id="62"/>
      <w:r w:rsidRPr="003E4F42">
        <w:rPr>
          <w:rFonts w:hint="cs"/>
          <w:rtl/>
          <w:lang w:val="en-GB"/>
        </w:rPr>
        <w:t xml:space="preserve">פטור מחובת הנחה </w:t>
      </w:r>
      <w:bookmarkStart w:id="63" w:name="_ETM_Q1_3710992"/>
      <w:bookmarkEnd w:id="63"/>
      <w:r w:rsidRPr="003E4F42">
        <w:rPr>
          <w:rFonts w:hint="cs"/>
          <w:rtl/>
          <w:lang w:val="en-GB"/>
        </w:rPr>
        <w:t xml:space="preserve">כדי לעזור לבן אדם אחד. יש כללים בחקיקה שנועדו בראש </w:t>
      </w:r>
      <w:bookmarkStart w:id="64" w:name="_ETM_Q1_3719259"/>
      <w:bookmarkEnd w:id="64"/>
      <w:r w:rsidRPr="003E4F42">
        <w:rPr>
          <w:rFonts w:hint="cs"/>
          <w:rtl/>
          <w:lang w:val="en-GB"/>
        </w:rPr>
        <w:t xml:space="preserve">וראשונה ליצור שוויון בין אזרחי מדינת ישראל. </w:t>
      </w:r>
      <w:bookmarkStart w:id="65" w:name="_ETM_Q1_3717087"/>
      <w:bookmarkEnd w:id="65"/>
      <w:r w:rsidRPr="003E4F42">
        <w:rPr>
          <w:rFonts w:hint="cs"/>
          <w:rtl/>
          <w:lang w:val="en-GB"/>
        </w:rPr>
        <w:t xml:space="preserve">[..] אל תיגעו </w:t>
      </w:r>
      <w:bookmarkStart w:id="66" w:name="_ETM_Q1_3804328"/>
      <w:bookmarkEnd w:id="66"/>
      <w:r w:rsidRPr="003E4F42">
        <w:rPr>
          <w:rFonts w:hint="cs"/>
          <w:rtl/>
          <w:lang w:val="en-GB"/>
        </w:rPr>
        <w:t xml:space="preserve">בחוק הזה, זה לא מתאים לנו כליכוד. אנחנו </w:t>
      </w:r>
      <w:bookmarkStart w:id="67" w:name="_ETM_Q1_3800142"/>
      <w:bookmarkEnd w:id="67"/>
      <w:r w:rsidRPr="003E4F42">
        <w:rPr>
          <w:rFonts w:hint="cs"/>
          <w:rtl/>
          <w:lang w:val="en-GB"/>
        </w:rPr>
        <w:t xml:space="preserve">אנשים שדואגים לכלל אזרחי מדינת ישראל, אנחנו לא מחוקקים חוקים </w:t>
      </w:r>
      <w:bookmarkStart w:id="68" w:name="_ETM_Q1_3812694"/>
      <w:bookmarkEnd w:id="68"/>
      <w:r w:rsidRPr="003E4F42">
        <w:rPr>
          <w:rFonts w:hint="cs"/>
          <w:rtl/>
          <w:lang w:val="en-GB"/>
        </w:rPr>
        <w:t xml:space="preserve">פרסונאליים. אגב, לא כל חוק פרסונאלי הוא פסול, יש </w:t>
      </w:r>
      <w:bookmarkStart w:id="69" w:name="_ETM_Q1_3815580"/>
      <w:bookmarkEnd w:id="69"/>
      <w:r w:rsidRPr="003E4F42">
        <w:rPr>
          <w:rFonts w:hint="cs"/>
          <w:rtl/>
          <w:lang w:val="en-GB"/>
        </w:rPr>
        <w:t xml:space="preserve">חוק פרסונאלי שיש בו </w:t>
      </w:r>
      <w:bookmarkStart w:id="70" w:name="_ETM_Q1_3816711"/>
      <w:bookmarkEnd w:id="70"/>
      <w:r w:rsidRPr="003E4F42">
        <w:rPr>
          <w:rFonts w:hint="cs"/>
          <w:rtl/>
          <w:lang w:val="en-GB"/>
        </w:rPr>
        <w:t xml:space="preserve">רעיון ויש בו היגיון, אבל פה יש חקיקה שנועדה לטייב </w:t>
      </w:r>
      <w:bookmarkStart w:id="71" w:name="_ETM_Q1_3823511"/>
      <w:bookmarkEnd w:id="71"/>
      <w:r w:rsidRPr="003E4F42">
        <w:rPr>
          <w:rFonts w:hint="cs"/>
          <w:rtl/>
          <w:lang w:val="en-GB"/>
        </w:rPr>
        <w:t>ולפתוח פתח על פני מועמדים אחרים ליו"ר ועדה קרו</w:t>
      </w:r>
      <w:bookmarkStart w:id="72" w:name="_ETM_Q1_3826270"/>
      <w:bookmarkEnd w:id="72"/>
      <w:r w:rsidRPr="003E4F42">
        <w:rPr>
          <w:rFonts w:hint="cs"/>
          <w:rtl/>
          <w:lang w:val="en-GB"/>
        </w:rPr>
        <w:t>אה בלי תקופת צינון" (שם, בעמ' 11-10).</w:t>
      </w:r>
    </w:p>
    <w:p w:rsidR="001E6B43" w:rsidRPr="003E4F42" w:rsidRDefault="001E6B43" w:rsidP="001E6B43">
      <w:pPr>
        <w:pStyle w:val="Ruller41"/>
        <w:rPr>
          <w:rtl/>
        </w:rPr>
      </w:pPr>
    </w:p>
    <w:p w:rsidR="001E6B43" w:rsidRPr="003E4F42" w:rsidRDefault="001E6B43" w:rsidP="00E50A79">
      <w:pPr>
        <w:pStyle w:val="Ruller4"/>
        <w:rPr>
          <w:rtl/>
        </w:rPr>
      </w:pPr>
      <w:r w:rsidRPr="003E4F42">
        <w:rPr>
          <w:rFonts w:hint="cs"/>
          <w:rtl/>
        </w:rPr>
        <w:t xml:space="preserve">כריכתן של התכלית העקרונית ושל התכלית הפרסונלית באה לידי ביטוי בהליך החקיקה כולו (ראו למשל, פרוטוקול הישיבה מיום 20.6.2023 בעמ' 3, 19; פרוטוקול ישיבה מס' 87 של ועדת הפנים והגנת הסביבה, הכנסת ה-25, 21-20 (26.6.2023, שעה 09:00) (להלן: </w:t>
      </w:r>
      <w:r w:rsidRPr="003E4F42">
        <w:rPr>
          <w:rFonts w:ascii="Century" w:hAnsi="Century" w:cs="Miriam" w:hint="cs"/>
          <w:b/>
          <w:spacing w:val="0"/>
          <w:sz w:val="22"/>
          <w:szCs w:val="24"/>
          <w:rtl/>
        </w:rPr>
        <w:t>פרוטוקול הישיבה מיום 26.6.2023</w:t>
      </w:r>
      <w:r w:rsidRPr="003E4F42">
        <w:rPr>
          <w:rFonts w:hint="cs"/>
          <w:rtl/>
        </w:rPr>
        <w:t xml:space="preserve">)). למעשה, המעיין בהליך חקיקת התיקון עשוי לחשוב שוועדת הפנים התכנסה לימי דיונים בעניינה של העיר טבריה: במהלך דיון ממושך שביטויו בעמודי פרוטוקול רבים, התייחסו כל הנוכחים (חברי כנסת ומוזמנים כאחד) לבחירות הקרבות לראשות עיריית טבריה; למתרחש בעיר; להתנהלות הוועדה הממונה; לפעולות המתמודדים וכיוצא באלה (ראו למשל, פרוטוקול הישיבה מיום 20.6.2023, בעמ' </w:t>
      </w:r>
      <w:r w:rsidR="00E50A79" w:rsidRPr="003E4F42">
        <w:rPr>
          <w:rFonts w:hint="cs"/>
          <w:rtl/>
        </w:rPr>
        <w:t>88-43</w:t>
      </w:r>
      <w:r w:rsidRPr="003E4F42">
        <w:rPr>
          <w:rFonts w:hint="cs"/>
          <w:rtl/>
        </w:rPr>
        <w:t xml:space="preserve">; פרוטוקול הישיבה מיום 29.6.2023 בעמ' 39-26). ויודגש: דיונים בוועדות הכנסת שעניינם ברשות מקומית כזו או אחרת אינם חריגים כשלעצמם, ואולם, לא ניתן להתעלם מכך שהגם שנטען שהתיקון אינו פרסונלי, אלא נוגע לוועדות ממונות נוספות, לא התקיים דיון במצבן של מי מוועדות אלו. כך, אין אזכור בהליך החקיקה להשפעתה על הוועדה הממונה במסעדה, בירכא או באבו גוש; ולא בכדי לא התייצבו מי מהגורמים המוניציפליים ביישובים אלה לדיונים בכנסת (על השפעתו המוגבלת של התיקון בבחירות הקרובות הצביע גם יושב ראש ועדת הפנים, חבר הכנסת יעקב אשר,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6; כן ראו את רשימות המשתתפים בדיונים בהצעת החוק, שכוללים נציגים רבים מהעיר טבריה ומועמדים בבחירות בעיר). לכך יש להוסיף כי חברי הכנסת מהאופוזיציה והיועצים המשפטיים שבו והציפו את הקשיים שמעוררת החקיקה, ובכלל זאת את המישור הפרסונלי שלה, במרבית (אם לא בכל) הדיונים שהתקיימו בהצעת החוק. </w:t>
      </w:r>
    </w:p>
    <w:p w:rsidR="001E6B43" w:rsidRPr="003E4F42" w:rsidRDefault="001E6B43" w:rsidP="001E6B43">
      <w:pPr>
        <w:pStyle w:val="Ruller4"/>
        <w:numPr>
          <w:ilvl w:val="0"/>
          <w:numId w:val="0"/>
        </w:numPr>
        <w:rPr>
          <w:rtl/>
        </w:rPr>
      </w:pPr>
    </w:p>
    <w:p w:rsidR="001E6B43" w:rsidRPr="003E4F42" w:rsidRDefault="001E6B43" w:rsidP="001E6B43">
      <w:pPr>
        <w:pStyle w:val="Ruller4"/>
        <w:rPr>
          <w:rtl/>
        </w:rPr>
      </w:pPr>
      <w:r w:rsidRPr="003E4F42">
        <w:rPr>
          <w:rFonts w:hint="cs"/>
          <w:rtl/>
        </w:rPr>
        <w:t xml:space="preserve">בסופו של יום, כאמור, הצעת החוק עברה בקריאה שניה ושלישית ביום 5.7.2023. בדיון זה במליאת הכנסת, חבר הכנסת יעקב אשר הציג את הצעת החוק ציין כי הגבלת זכותם של חברי ועדות ממונות להיבחר "אינה נותנת משקל ראוי לזכות היסוד </w:t>
      </w:r>
      <w:r w:rsidRPr="003E4F42">
        <w:rPr>
          <w:rFonts w:hint="cs"/>
          <w:rtl/>
        </w:rPr>
        <w:lastRenderedPageBreak/>
        <w:t>לבחור ולהיבחר" (פרוטוקול ישיבה 89 של הכנסת ה-25, 67 (4.7.2023)), אך גם בדבריו נכרכה תכליתה הפרסונלית של החקיקה:</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tl/>
        </w:rPr>
        <w:t xml:space="preserve">אפשר </w:t>
      </w:r>
      <w:bookmarkStart w:id="73" w:name="_ETM_Q17_282959"/>
      <w:bookmarkEnd w:id="73"/>
      <w:r w:rsidRPr="003E4F42">
        <w:rPr>
          <w:rtl/>
        </w:rPr>
        <w:t xml:space="preserve">לבוא </w:t>
      </w:r>
      <w:bookmarkStart w:id="74" w:name="_ETM_Q17_283229"/>
      <w:bookmarkEnd w:id="74"/>
      <w:r w:rsidRPr="003E4F42">
        <w:rPr>
          <w:rtl/>
        </w:rPr>
        <w:t xml:space="preserve">ולומר </w:t>
      </w:r>
      <w:bookmarkStart w:id="75" w:name="_ETM_Q17_283650"/>
      <w:bookmarkEnd w:id="75"/>
      <w:r w:rsidRPr="003E4F42">
        <w:rPr>
          <w:rtl/>
        </w:rPr>
        <w:t xml:space="preserve">שיש </w:t>
      </w:r>
      <w:bookmarkStart w:id="76" w:name="_ETM_Q17_283979"/>
      <w:bookmarkEnd w:id="76"/>
      <w:r w:rsidRPr="003E4F42">
        <w:rPr>
          <w:rtl/>
        </w:rPr>
        <w:t xml:space="preserve">בעיה </w:t>
      </w:r>
      <w:bookmarkStart w:id="77" w:name="_ETM_Q17_284430"/>
      <w:bookmarkEnd w:id="77"/>
      <w:r w:rsidRPr="003E4F42">
        <w:rPr>
          <w:rtl/>
        </w:rPr>
        <w:t xml:space="preserve">במשהו </w:t>
      </w:r>
      <w:bookmarkStart w:id="78" w:name="_ETM_Q17_285650"/>
      <w:bookmarkEnd w:id="78"/>
      <w:r w:rsidRPr="003E4F42">
        <w:rPr>
          <w:rtl/>
        </w:rPr>
        <w:t>ש</w:t>
      </w:r>
      <w:bookmarkStart w:id="79" w:name="_ETM_Q17_285890"/>
      <w:bookmarkEnd w:id="79"/>
      <w:r w:rsidRPr="003E4F42">
        <w:rPr>
          <w:rtl/>
        </w:rPr>
        <w:t xml:space="preserve">לא </w:t>
      </w:r>
      <w:bookmarkStart w:id="80" w:name="_ETM_Q17_286010"/>
      <w:bookmarkEnd w:id="80"/>
      <w:r w:rsidRPr="003E4F42">
        <w:rPr>
          <w:rFonts w:hint="cs"/>
          <w:rtl/>
        </w:rPr>
        <w:t>חל</w:t>
      </w:r>
      <w:r w:rsidRPr="003E4F42">
        <w:rPr>
          <w:rtl/>
        </w:rPr>
        <w:t xml:space="preserve"> </w:t>
      </w:r>
      <w:bookmarkStart w:id="81" w:name="_ETM_Q17_286310"/>
      <w:bookmarkEnd w:id="81"/>
      <w:r w:rsidRPr="003E4F42">
        <w:rPr>
          <w:rtl/>
        </w:rPr>
        <w:t xml:space="preserve">כרגע </w:t>
      </w:r>
      <w:bookmarkStart w:id="82" w:name="_ETM_Q17_286790"/>
      <w:bookmarkEnd w:id="82"/>
      <w:r w:rsidRPr="003E4F42">
        <w:rPr>
          <w:rtl/>
        </w:rPr>
        <w:t xml:space="preserve">על </w:t>
      </w:r>
      <w:bookmarkStart w:id="83" w:name="_ETM_Q17_286880"/>
      <w:bookmarkEnd w:id="83"/>
      <w:r w:rsidRPr="003E4F42">
        <w:rPr>
          <w:rtl/>
        </w:rPr>
        <w:t xml:space="preserve">הרבה </w:t>
      </w:r>
      <w:bookmarkStart w:id="84" w:name="_ETM_Q17_287120"/>
      <w:bookmarkEnd w:id="84"/>
      <w:r w:rsidRPr="003E4F42">
        <w:rPr>
          <w:rtl/>
        </w:rPr>
        <w:t>מקומות</w:t>
      </w:r>
      <w:r w:rsidRPr="003E4F42">
        <w:rPr>
          <w:rFonts w:hint="cs"/>
          <w:rtl/>
        </w:rPr>
        <w:t>; הוא חל</w:t>
      </w:r>
      <w:r w:rsidRPr="003E4F42">
        <w:rPr>
          <w:rtl/>
        </w:rPr>
        <w:t xml:space="preserve"> </w:t>
      </w:r>
      <w:bookmarkStart w:id="85" w:name="_ETM_Q17_289100"/>
      <w:bookmarkEnd w:id="85"/>
      <w:r w:rsidRPr="003E4F42">
        <w:rPr>
          <w:rtl/>
        </w:rPr>
        <w:t xml:space="preserve">על </w:t>
      </w:r>
      <w:bookmarkStart w:id="86" w:name="_ETM_Q17_289729"/>
      <w:bookmarkEnd w:id="86"/>
      <w:r w:rsidRPr="003E4F42">
        <w:rPr>
          <w:rtl/>
        </w:rPr>
        <w:t xml:space="preserve">מספר </w:t>
      </w:r>
      <w:bookmarkStart w:id="87" w:name="_ETM_Q17_290090"/>
      <w:bookmarkEnd w:id="87"/>
      <w:r w:rsidRPr="003E4F42">
        <w:rPr>
          <w:rtl/>
        </w:rPr>
        <w:t xml:space="preserve">מקומות </w:t>
      </w:r>
      <w:bookmarkStart w:id="88" w:name="_ETM_Q17_290479"/>
      <w:bookmarkEnd w:id="88"/>
      <w:r w:rsidRPr="003E4F42">
        <w:rPr>
          <w:rFonts w:hint="cs"/>
          <w:rtl/>
        </w:rPr>
        <w:t>מועט</w:t>
      </w:r>
      <w:r w:rsidRPr="003E4F42">
        <w:rPr>
          <w:rtl/>
        </w:rPr>
        <w:t xml:space="preserve"> </w:t>
      </w:r>
      <w:bookmarkStart w:id="89" w:name="_ETM_Q17_291020"/>
      <w:bookmarkEnd w:id="89"/>
      <w:r w:rsidRPr="003E4F42">
        <w:rPr>
          <w:rtl/>
        </w:rPr>
        <w:t xml:space="preserve">והוא </w:t>
      </w:r>
      <w:bookmarkStart w:id="90" w:name="_ETM_Q17_291200"/>
      <w:bookmarkEnd w:id="90"/>
      <w:r w:rsidRPr="003E4F42">
        <w:rPr>
          <w:rtl/>
        </w:rPr>
        <w:t xml:space="preserve">רלוונטי </w:t>
      </w:r>
      <w:bookmarkStart w:id="91" w:name="_ETM_Q17_291770"/>
      <w:bookmarkEnd w:id="91"/>
      <w:r w:rsidRPr="003E4F42">
        <w:rPr>
          <w:rtl/>
        </w:rPr>
        <w:t xml:space="preserve">למקום </w:t>
      </w:r>
      <w:bookmarkStart w:id="92" w:name="_ETM_Q17_292189"/>
      <w:bookmarkStart w:id="93" w:name="_ETM_Q17_293190"/>
      <w:bookmarkEnd w:id="92"/>
      <w:bookmarkEnd w:id="93"/>
      <w:r w:rsidRPr="003E4F42">
        <w:rPr>
          <w:rFonts w:hint="cs"/>
          <w:rtl/>
        </w:rPr>
        <w:t>אחד</w:t>
      </w:r>
      <w:bookmarkStart w:id="94" w:name="_ETM_Q17_293212"/>
      <w:bookmarkEnd w:id="94"/>
      <w:r w:rsidRPr="003E4F42">
        <w:rPr>
          <w:rFonts w:hint="cs"/>
          <w:rtl/>
        </w:rPr>
        <w:t xml:space="preserve">, </w:t>
      </w:r>
      <w:r w:rsidRPr="003E4F42">
        <w:rPr>
          <w:rtl/>
        </w:rPr>
        <w:t xml:space="preserve">אבל </w:t>
      </w:r>
      <w:bookmarkStart w:id="95" w:name="_ETM_Q17_294179"/>
      <w:bookmarkEnd w:id="95"/>
      <w:r w:rsidRPr="003E4F42">
        <w:rPr>
          <w:rtl/>
        </w:rPr>
        <w:t>עדיין</w:t>
      </w:r>
      <w:r w:rsidRPr="003E4F42">
        <w:rPr>
          <w:rFonts w:hint="cs"/>
          <w:rtl/>
        </w:rPr>
        <w:t>,</w:t>
      </w:r>
      <w:r w:rsidRPr="003E4F42">
        <w:rPr>
          <w:rtl/>
        </w:rPr>
        <w:t xml:space="preserve"> </w:t>
      </w:r>
      <w:bookmarkStart w:id="96" w:name="_ETM_Q17_295119"/>
      <w:bookmarkEnd w:id="96"/>
      <w:r w:rsidRPr="003E4F42">
        <w:rPr>
          <w:rtl/>
        </w:rPr>
        <w:t xml:space="preserve">עדיין </w:t>
      </w:r>
      <w:bookmarkStart w:id="97" w:name="_ETM_Q17_296189"/>
      <w:bookmarkEnd w:id="97"/>
      <w:r w:rsidRPr="003E4F42">
        <w:rPr>
          <w:rtl/>
        </w:rPr>
        <w:t xml:space="preserve">שמענו </w:t>
      </w:r>
      <w:bookmarkStart w:id="98" w:name="_ETM_Q17_296700"/>
      <w:bookmarkEnd w:id="98"/>
      <w:r w:rsidRPr="003E4F42">
        <w:rPr>
          <w:rtl/>
        </w:rPr>
        <w:t xml:space="preserve">גם </w:t>
      </w:r>
      <w:bookmarkStart w:id="99" w:name="_ETM_Q17_297329"/>
      <w:bookmarkEnd w:id="99"/>
      <w:r w:rsidRPr="003E4F42">
        <w:rPr>
          <w:rtl/>
        </w:rPr>
        <w:t xml:space="preserve">את </w:t>
      </w:r>
      <w:bookmarkStart w:id="100" w:name="_ETM_Q17_297540"/>
      <w:bookmarkEnd w:id="100"/>
      <w:r w:rsidRPr="003E4F42">
        <w:rPr>
          <w:rFonts w:hint="cs"/>
          <w:rtl/>
        </w:rPr>
        <w:t>ק</w:t>
      </w:r>
      <w:r w:rsidRPr="003E4F42">
        <w:rPr>
          <w:rtl/>
        </w:rPr>
        <w:t xml:space="preserve">ולם </w:t>
      </w:r>
      <w:bookmarkStart w:id="101" w:name="_ETM_Q17_297930"/>
      <w:bookmarkEnd w:id="101"/>
      <w:r w:rsidRPr="003E4F42">
        <w:rPr>
          <w:rtl/>
        </w:rPr>
        <w:t xml:space="preserve">של </w:t>
      </w:r>
      <w:bookmarkStart w:id="102" w:name="_ETM_Q17_298229"/>
      <w:bookmarkEnd w:id="102"/>
      <w:r w:rsidRPr="003E4F42">
        <w:rPr>
          <w:rtl/>
        </w:rPr>
        <w:t xml:space="preserve">המתמודדים </w:t>
      </w:r>
      <w:bookmarkStart w:id="103" w:name="_ETM_Q17_299220"/>
      <w:bookmarkEnd w:id="103"/>
      <w:r w:rsidRPr="003E4F42">
        <w:rPr>
          <w:rtl/>
        </w:rPr>
        <w:t xml:space="preserve">שטוענים </w:t>
      </w:r>
      <w:bookmarkStart w:id="104" w:name="_ETM_Q17_300490"/>
      <w:bookmarkEnd w:id="104"/>
      <w:r w:rsidRPr="003E4F42">
        <w:rPr>
          <w:rtl/>
        </w:rPr>
        <w:t xml:space="preserve">שזה </w:t>
      </w:r>
      <w:bookmarkStart w:id="105" w:name="_ETM_Q17_301299"/>
      <w:bookmarkEnd w:id="105"/>
      <w:r w:rsidRPr="003E4F42">
        <w:rPr>
          <w:rtl/>
        </w:rPr>
        <w:t xml:space="preserve">יכול </w:t>
      </w:r>
      <w:bookmarkStart w:id="106" w:name="_ETM_Q17_301600"/>
      <w:bookmarkEnd w:id="106"/>
      <w:r w:rsidRPr="003E4F42">
        <w:rPr>
          <w:rtl/>
        </w:rPr>
        <w:t>ל</w:t>
      </w:r>
      <w:r w:rsidRPr="003E4F42">
        <w:rPr>
          <w:rFonts w:hint="cs"/>
          <w:rtl/>
        </w:rPr>
        <w:t>הרע את</w:t>
      </w:r>
      <w:r w:rsidRPr="003E4F42">
        <w:rPr>
          <w:rtl/>
        </w:rPr>
        <w:t xml:space="preserve"> </w:t>
      </w:r>
      <w:bookmarkStart w:id="107" w:name="_ETM_Q17_302140"/>
      <w:bookmarkEnd w:id="107"/>
      <w:r w:rsidRPr="003E4F42">
        <w:rPr>
          <w:rtl/>
        </w:rPr>
        <w:t>מצבם</w:t>
      </w:r>
      <w:r w:rsidRPr="003E4F42">
        <w:rPr>
          <w:rFonts w:hint="cs"/>
          <w:rtl/>
        </w:rPr>
        <w:t>,</w:t>
      </w:r>
      <w:r w:rsidRPr="003E4F42">
        <w:rPr>
          <w:rtl/>
        </w:rPr>
        <w:t xml:space="preserve"> </w:t>
      </w:r>
      <w:bookmarkStart w:id="108" w:name="_ETM_Q17_303009"/>
      <w:bookmarkEnd w:id="108"/>
      <w:r w:rsidRPr="003E4F42">
        <w:rPr>
          <w:rtl/>
        </w:rPr>
        <w:t xml:space="preserve">מצד </w:t>
      </w:r>
      <w:bookmarkStart w:id="109" w:name="_ETM_Q17_303430"/>
      <w:bookmarkEnd w:id="109"/>
      <w:r w:rsidRPr="003E4F42">
        <w:rPr>
          <w:rFonts w:hint="cs"/>
          <w:rtl/>
        </w:rPr>
        <w:t>אחד,</w:t>
      </w:r>
      <w:r w:rsidRPr="003E4F42">
        <w:rPr>
          <w:rtl/>
        </w:rPr>
        <w:t xml:space="preserve"> </w:t>
      </w:r>
      <w:bookmarkStart w:id="110" w:name="_ETM_Q17_304289"/>
      <w:bookmarkEnd w:id="110"/>
      <w:r w:rsidRPr="003E4F42">
        <w:rPr>
          <w:rtl/>
        </w:rPr>
        <w:t xml:space="preserve">אבל </w:t>
      </w:r>
      <w:bookmarkStart w:id="111" w:name="_ETM_Q17_304560"/>
      <w:bookmarkEnd w:id="111"/>
      <w:r w:rsidRPr="003E4F42">
        <w:rPr>
          <w:rtl/>
        </w:rPr>
        <w:t xml:space="preserve">שמענו </w:t>
      </w:r>
      <w:bookmarkStart w:id="112" w:name="_ETM_Q17_304920"/>
      <w:bookmarkEnd w:id="112"/>
      <w:r w:rsidRPr="003E4F42">
        <w:rPr>
          <w:rtl/>
        </w:rPr>
        <w:t xml:space="preserve">גם </w:t>
      </w:r>
      <w:bookmarkStart w:id="113" w:name="_ETM_Q17_305159"/>
      <w:bookmarkEnd w:id="113"/>
      <w:r w:rsidRPr="003E4F42">
        <w:rPr>
          <w:rtl/>
        </w:rPr>
        <w:t xml:space="preserve">קולות </w:t>
      </w:r>
      <w:bookmarkStart w:id="114" w:name="_ETM_Q17_305549"/>
      <w:bookmarkEnd w:id="114"/>
      <w:r w:rsidRPr="003E4F42">
        <w:rPr>
          <w:rtl/>
        </w:rPr>
        <w:t xml:space="preserve">של </w:t>
      </w:r>
      <w:bookmarkStart w:id="115" w:name="_ETM_Q17_305700"/>
      <w:bookmarkEnd w:id="115"/>
      <w:r w:rsidRPr="003E4F42">
        <w:rPr>
          <w:rtl/>
        </w:rPr>
        <w:t xml:space="preserve">תושבי </w:t>
      </w:r>
      <w:bookmarkStart w:id="116" w:name="_ETM_Q17_306210"/>
      <w:bookmarkEnd w:id="116"/>
      <w:r w:rsidRPr="003E4F42">
        <w:rPr>
          <w:rtl/>
        </w:rPr>
        <w:t>העיר</w:t>
      </w:r>
      <w:r w:rsidRPr="003E4F42">
        <w:rPr>
          <w:rFonts w:hint="cs"/>
          <w:rtl/>
        </w:rPr>
        <w:t>,</w:t>
      </w:r>
      <w:r w:rsidRPr="003E4F42">
        <w:rPr>
          <w:rtl/>
        </w:rPr>
        <w:t xml:space="preserve"> </w:t>
      </w:r>
      <w:bookmarkStart w:id="117" w:name="_ETM_Q17_307060"/>
      <w:bookmarkEnd w:id="117"/>
      <w:r w:rsidRPr="003E4F42">
        <w:rPr>
          <w:rtl/>
        </w:rPr>
        <w:t xml:space="preserve">שבאים </w:t>
      </w:r>
      <w:bookmarkStart w:id="118" w:name="_ETM_Q17_307509"/>
      <w:bookmarkEnd w:id="118"/>
      <w:r w:rsidRPr="003E4F42">
        <w:rPr>
          <w:rtl/>
        </w:rPr>
        <w:t>ואומרים</w:t>
      </w:r>
      <w:r w:rsidRPr="003E4F42">
        <w:rPr>
          <w:rFonts w:hint="cs"/>
          <w:rtl/>
        </w:rPr>
        <w:t>: תנו</w:t>
      </w:r>
      <w:r w:rsidRPr="003E4F42">
        <w:rPr>
          <w:rtl/>
        </w:rPr>
        <w:t xml:space="preserve"> </w:t>
      </w:r>
      <w:bookmarkStart w:id="119" w:name="_ETM_Q17_308200"/>
      <w:bookmarkEnd w:id="119"/>
      <w:r w:rsidRPr="003E4F42">
        <w:rPr>
          <w:rtl/>
        </w:rPr>
        <w:t xml:space="preserve">לנו </w:t>
      </w:r>
      <w:bookmarkStart w:id="120" w:name="_ETM_Q17_309230"/>
      <w:bookmarkEnd w:id="120"/>
      <w:r w:rsidRPr="003E4F42">
        <w:rPr>
          <w:rtl/>
        </w:rPr>
        <w:t>לבחור</w:t>
      </w:r>
      <w:r w:rsidRPr="003E4F42">
        <w:rPr>
          <w:rFonts w:hint="cs"/>
          <w:rtl/>
        </w:rPr>
        <w:t>,</w:t>
      </w:r>
      <w:r w:rsidRPr="003E4F42">
        <w:rPr>
          <w:rtl/>
        </w:rPr>
        <w:t xml:space="preserve"> </w:t>
      </w:r>
      <w:bookmarkStart w:id="121" w:name="_ETM_Q17_310040"/>
      <w:bookmarkEnd w:id="121"/>
      <w:r w:rsidRPr="003E4F42">
        <w:rPr>
          <w:rtl/>
        </w:rPr>
        <w:t xml:space="preserve">תשאירו </w:t>
      </w:r>
      <w:bookmarkStart w:id="122" w:name="_ETM_Q17_310519"/>
      <w:bookmarkEnd w:id="122"/>
      <w:r w:rsidRPr="003E4F42">
        <w:rPr>
          <w:rtl/>
        </w:rPr>
        <w:t xml:space="preserve">לנו </w:t>
      </w:r>
      <w:bookmarkStart w:id="123" w:name="_ETM_Q17_310849"/>
      <w:bookmarkEnd w:id="123"/>
      <w:r w:rsidRPr="003E4F42">
        <w:rPr>
          <w:rtl/>
        </w:rPr>
        <w:t xml:space="preserve">את </w:t>
      </w:r>
      <w:bookmarkStart w:id="124" w:name="_ETM_Q17_311000"/>
      <w:bookmarkEnd w:id="124"/>
      <w:r w:rsidRPr="003E4F42">
        <w:rPr>
          <w:rtl/>
        </w:rPr>
        <w:t xml:space="preserve">האפשרות </w:t>
      </w:r>
      <w:bookmarkStart w:id="125" w:name="_ETM_Q17_311480"/>
      <w:bookmarkEnd w:id="125"/>
      <w:r w:rsidRPr="003E4F42">
        <w:rPr>
          <w:rtl/>
        </w:rPr>
        <w:t xml:space="preserve">לבחור </w:t>
      </w:r>
      <w:bookmarkStart w:id="126" w:name="_ETM_Q17_312590"/>
      <w:bookmarkEnd w:id="126"/>
      <w:r w:rsidRPr="003E4F42">
        <w:rPr>
          <w:rFonts w:hint="cs"/>
          <w:rtl/>
        </w:rPr>
        <w:t>ב</w:t>
      </w:r>
      <w:r w:rsidRPr="003E4F42">
        <w:rPr>
          <w:rtl/>
        </w:rPr>
        <w:t xml:space="preserve">מי </w:t>
      </w:r>
      <w:bookmarkStart w:id="127" w:name="_ETM_Q17_312830"/>
      <w:bookmarkEnd w:id="127"/>
      <w:r w:rsidRPr="003E4F42">
        <w:rPr>
          <w:rtl/>
        </w:rPr>
        <w:t xml:space="preserve">שהכי </w:t>
      </w:r>
      <w:bookmarkStart w:id="128" w:name="_ETM_Q17_313220"/>
      <w:bookmarkEnd w:id="128"/>
      <w:r w:rsidRPr="003E4F42">
        <w:rPr>
          <w:rtl/>
        </w:rPr>
        <w:t xml:space="preserve">טוב </w:t>
      </w:r>
      <w:bookmarkStart w:id="129" w:name="_ETM_Q17_313519"/>
      <w:bookmarkEnd w:id="129"/>
      <w:r w:rsidRPr="003E4F42">
        <w:rPr>
          <w:rtl/>
        </w:rPr>
        <w:t xml:space="preserve">לנו </w:t>
      </w:r>
      <w:bookmarkStart w:id="130" w:name="_ETM_Q17_314550"/>
      <w:bookmarkEnd w:id="130"/>
      <w:r w:rsidRPr="003E4F42">
        <w:rPr>
          <w:rtl/>
        </w:rPr>
        <w:t xml:space="preserve">ומי </w:t>
      </w:r>
      <w:bookmarkStart w:id="131" w:name="_ETM_Q17_314790"/>
      <w:bookmarkEnd w:id="131"/>
      <w:r w:rsidRPr="003E4F42">
        <w:rPr>
          <w:rtl/>
        </w:rPr>
        <w:t xml:space="preserve">שיהיה </w:t>
      </w:r>
      <w:bookmarkStart w:id="132" w:name="_ETM_Q17_315060"/>
      <w:bookmarkEnd w:id="132"/>
      <w:r w:rsidRPr="003E4F42">
        <w:rPr>
          <w:rtl/>
        </w:rPr>
        <w:t xml:space="preserve">הכי </w:t>
      </w:r>
      <w:bookmarkStart w:id="133" w:name="_ETM_Q17_315270"/>
      <w:bookmarkEnd w:id="133"/>
      <w:r w:rsidRPr="003E4F42">
        <w:rPr>
          <w:rtl/>
        </w:rPr>
        <w:t xml:space="preserve">טוב </w:t>
      </w:r>
      <w:bookmarkStart w:id="134" w:name="_ETM_Q17_315540"/>
      <w:bookmarkEnd w:id="134"/>
      <w:r w:rsidRPr="003E4F42">
        <w:rPr>
          <w:rtl/>
        </w:rPr>
        <w:t xml:space="preserve">לעיר </w:t>
      </w:r>
      <w:bookmarkStart w:id="135" w:name="_ETM_Q17_315840"/>
      <w:bookmarkEnd w:id="135"/>
      <w:r w:rsidRPr="003E4F42">
        <w:rPr>
          <w:rtl/>
        </w:rPr>
        <w:t>שלנו</w:t>
      </w:r>
      <w:r w:rsidRPr="003E4F42">
        <w:rPr>
          <w:rFonts w:hint="cs"/>
          <w:rtl/>
        </w:rPr>
        <w:t>" (שם, בעמ' 67; כן ראו דבריו של השר יצחק גולדקנופף שם, בעמ' 101-99).</w:t>
      </w:r>
    </w:p>
    <w:p w:rsidR="001E6B43" w:rsidRPr="003E4F42" w:rsidRDefault="001E6B43" w:rsidP="001E6B43">
      <w:pPr>
        <w:pStyle w:val="Ruller41"/>
        <w:rPr>
          <w:rtl/>
        </w:rPr>
      </w:pPr>
    </w:p>
    <w:p w:rsidR="001E6B43" w:rsidRPr="003E4F42" w:rsidRDefault="001E6B43" w:rsidP="001E6B43">
      <w:pPr>
        <w:pStyle w:val="Ruller41"/>
        <w:rPr>
          <w:rtl/>
        </w:rPr>
      </w:pPr>
      <w:r w:rsidRPr="003E4F42">
        <w:rPr>
          <w:rtl/>
        </w:rPr>
        <w:tab/>
      </w:r>
      <w:r w:rsidRPr="003E4F42">
        <w:rPr>
          <w:rFonts w:hint="cs"/>
          <w:rtl/>
        </w:rPr>
        <w:t>באותה ישיבה ביקש יושב ראש הישיבה, חבר הכנסת ניסים ואטורי להבהיר את נושא ההצבעה, וציין באלו המילים:</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Fonts w:hint="cs"/>
          <w:rtl/>
          <w:lang w:eastAsia="he-IL"/>
        </w:rPr>
        <w:t xml:space="preserve">רק שלא נתבלבל, בהצבעה היום </w:t>
      </w:r>
      <w:bookmarkStart w:id="136" w:name="_ETM_Q54_672053"/>
      <w:bookmarkEnd w:id="136"/>
      <w:r w:rsidRPr="003E4F42">
        <w:rPr>
          <w:rFonts w:hint="cs"/>
          <w:rtl/>
          <w:lang w:eastAsia="he-IL"/>
        </w:rPr>
        <w:t xml:space="preserve">לא בוחרים ראש עיר, </w:t>
      </w:r>
      <w:r w:rsidRPr="003E4F42">
        <w:rPr>
          <w:rFonts w:ascii="Century" w:hAnsi="Century" w:cs="Miriam" w:hint="cs"/>
          <w:b/>
          <w:spacing w:val="0"/>
          <w:szCs w:val="24"/>
          <w:rtl/>
          <w:lang w:eastAsia="he-IL"/>
        </w:rPr>
        <w:t>נותנים פשוט אופציה ליושב-ראש ועדה קרואה להתמודד בבחירות בטבריה</w:t>
      </w:r>
      <w:r w:rsidRPr="003E4F42">
        <w:rPr>
          <w:rFonts w:hint="cs"/>
          <w:rtl/>
        </w:rPr>
        <w:t xml:space="preserve">" (שם, בעמ' 205; ההדגשה הוספה </w:t>
      </w:r>
      <w:r w:rsidRPr="003E4F42">
        <w:rPr>
          <w:rtl/>
        </w:rPr>
        <w:t>–</w:t>
      </w:r>
      <w:r w:rsidRPr="003E4F42">
        <w:rPr>
          <w:rFonts w:hint="cs"/>
          <w:rtl/>
        </w:rPr>
        <w:t xml:space="preserve"> ע' פ').</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pPr>
      <w:r w:rsidRPr="003E4F42">
        <w:rPr>
          <w:rtl/>
        </w:rPr>
        <w:tab/>
      </w:r>
      <w:r w:rsidRPr="003E4F42">
        <w:rPr>
          <w:rFonts w:hint="cs"/>
          <w:rtl/>
        </w:rPr>
        <w:t xml:space="preserve">והדברים מדברים בעד עצמם. </w:t>
      </w:r>
    </w:p>
    <w:p w:rsidR="001E6B43" w:rsidRPr="003E4F42" w:rsidRDefault="001E6B43" w:rsidP="001E6B43">
      <w:pPr>
        <w:pStyle w:val="Ruller41"/>
        <w:rPr>
          <w:rtl/>
        </w:rPr>
      </w:pPr>
    </w:p>
    <w:p w:rsidR="001E6B43" w:rsidRPr="003E4F42" w:rsidRDefault="001E6B43" w:rsidP="001E6B43">
      <w:pPr>
        <w:pStyle w:val="Ruller4"/>
      </w:pPr>
      <w:r w:rsidRPr="003E4F42">
        <w:rPr>
          <w:rFonts w:hint="cs"/>
          <w:rtl/>
        </w:rPr>
        <w:t xml:space="preserve">על מרכזיותה של התכלית הפרסונלית מעידה גם המהירות שבה ביקשה הכנסת להעביר את התיקון </w:t>
      </w:r>
      <w:r w:rsidRPr="003E4F42">
        <w:rPr>
          <w:rtl/>
        </w:rPr>
        <w:t>–</w:t>
      </w:r>
      <w:r w:rsidRPr="003E4F42">
        <w:rPr>
          <w:rFonts w:hint="cs"/>
          <w:rtl/>
        </w:rPr>
        <w:t xml:space="preserve"> מהירות שהייתה מחויבת המציאות נוכח התקרבות הבחירות לרשויות המקומיות. על הבהילות ניתן ללמוד בראש ובראשונה מהתנהלות הכנסת. כך, במסגרת הצעת החוק קוצרה תקופת ההנחה, הן לפני הדיון המוקדם ("קריאה טרומית"), הן לפני הקריאה השנייה (לפי סעיפים 76(ד)(2) ו-88(ב) לתקנון הכנסת</w:t>
      </w:r>
      <w:r w:rsidR="007435D5" w:rsidRPr="003E4F42">
        <w:rPr>
          <w:rFonts w:hint="cs"/>
          <w:rtl/>
        </w:rPr>
        <w:t>, בהאתמה</w:t>
      </w:r>
      <w:r w:rsidRPr="003E4F42">
        <w:rPr>
          <w:rFonts w:hint="cs"/>
          <w:rtl/>
        </w:rPr>
        <w:t>). קיצור תקופת ההנחה לפני הקריאה הטרומית מותנה, מלכתחילה, בכך שבהצעת החוק ישנה "חשיבות או דחיפות"; ובמסגרת הדיון בקיצור תקופת ההנחה לפני הקריאה השנייה הבהיר חבר הכנסת ארז מלול כי יש לאשר את הפטור "</w:t>
      </w:r>
      <w:r w:rsidRPr="003E4F42">
        <w:rPr>
          <w:rFonts w:hint="cs"/>
          <w:rtl/>
          <w:lang w:eastAsia="he-IL"/>
        </w:rPr>
        <w:t>בגלל פרק הזמנים הקצר שעומד לרשותנו. יש הרבה</w:t>
      </w:r>
      <w:bookmarkStart w:id="137" w:name="_ETM_Q1_1614000"/>
      <w:bookmarkEnd w:id="137"/>
      <w:r w:rsidRPr="003E4F42">
        <w:rPr>
          <w:rFonts w:hint="cs"/>
          <w:rtl/>
          <w:lang w:eastAsia="he-IL"/>
        </w:rPr>
        <w:t xml:space="preserve"> אנשים שזה יכול להשפיע עליהם </w:t>
      </w:r>
      <w:r w:rsidRPr="003E4F42">
        <w:rPr>
          <w:rtl/>
          <w:lang w:eastAsia="he-IL"/>
        </w:rPr>
        <w:t>–</w:t>
      </w:r>
      <w:r w:rsidRPr="003E4F42">
        <w:rPr>
          <w:rFonts w:hint="cs"/>
          <w:rtl/>
          <w:lang w:eastAsia="he-IL"/>
        </w:rPr>
        <w:t xml:space="preserve"> אני לא יודע</w:t>
      </w:r>
      <w:bookmarkStart w:id="138" w:name="_ETM_Q1_1617000"/>
      <w:bookmarkEnd w:id="138"/>
      <w:r w:rsidRPr="003E4F42">
        <w:rPr>
          <w:rFonts w:hint="cs"/>
          <w:rtl/>
          <w:lang w:eastAsia="he-IL"/>
        </w:rPr>
        <w:t xml:space="preserve"> כמה. לכן חשוב מאוד שהצעת החוק תוגש בקרוב בדיון הקרוב האפשרי</w:t>
      </w:r>
      <w:r w:rsidRPr="003E4F42">
        <w:rPr>
          <w:rFonts w:hint="cs"/>
          <w:rtl/>
        </w:rPr>
        <w:t xml:space="preserve">" (פרוטוקול ישיבה מס' 66 של ועדת הכנסת, הכנסת ה-25, 11 (4.7.2023)). מהירות זו מלמדת על החשיבות שייחסו חברי הכנסת להחלת התיקון כבר בבחירות הקרובות, החלה שכאמור נועדה לאפשר לבועז יוסף התמודדות בעיר טבריה (כאמור, יתר הוועדות הממונות לא זכו להתייחסות של ממש בהליך החקיקה, ולא בכדי). </w:t>
      </w:r>
    </w:p>
    <w:p w:rsidR="001E6B43" w:rsidRPr="003E4F42" w:rsidRDefault="001E6B43" w:rsidP="001E6B43">
      <w:pPr>
        <w:pStyle w:val="Ruller4"/>
        <w:numPr>
          <w:ilvl w:val="0"/>
          <w:numId w:val="0"/>
        </w:numPr>
      </w:pPr>
    </w:p>
    <w:p w:rsidR="001E6B43" w:rsidRPr="003E4F42" w:rsidRDefault="001E6B43" w:rsidP="00962257">
      <w:pPr>
        <w:pStyle w:val="Ruller4"/>
      </w:pPr>
      <w:r w:rsidRPr="003E4F42">
        <w:rPr>
          <w:rFonts w:hint="cs"/>
          <w:rtl/>
        </w:rPr>
        <w:lastRenderedPageBreak/>
        <w:t xml:space="preserve">עוד ניתן ללמוד על הבהילות בקידום התיקון מכך שסוגיות מורכבות שנוגעות לתיקון לא לובנו ולא תוקנו, הגם שהועלו בדיונים בוועדה. כך למשל, במהלך הדיון בהכנת החוק לקריאה שניה ושלישית בוועדת הפנים הועלתה בעיה שנוגעת לתחולת דיני תעמולת הבחירות על חברי הוועדה הממונה (שכזכור, ערב התיקון לא יכלו להתמודד בבחירות ועל כן לא חל עליהם חלק מדינים אלה). ואולם בעיה זו לא באה על פתרונה, ואף לא נדונה לעומקה (ראו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31-29). בהקשר זה, במסגרת העתירות שלפנינו, סבר בא כוח הכנסת כי יש אכן צורך בביצוע התאמות בדיני התעמולה (התאמות שלשיטת הכנסת יש לבצע בשלב זה באמצעות פרשנות וייתכן גם באמצעות תיקון של חוזרי מנכ"ל משרד הפנים הרלוונטיים; סעיף 137 לתצהיר התשובה). דוגמה נוספת לדיס-הרמוניה חקיקתית שנוצרה בהליך החקיקה המהיר היא הפער בין הוראת הצינון שנקבעה בסופו של יום בתיקון לחברי ויושבי ראש ועדה ממונה (90 ימים) לבין זו שנקבעה בעניינם של מנכ"לי הרשות המקומית </w:t>
      </w:r>
      <w:r w:rsidRPr="003E4F42">
        <w:rPr>
          <w:rtl/>
        </w:rPr>
        <w:t>–</w:t>
      </w:r>
      <w:r w:rsidRPr="003E4F42">
        <w:rPr>
          <w:rFonts w:hint="cs"/>
          <w:rtl/>
        </w:rPr>
        <w:t xml:space="preserve"> שעומדת על שנתיים (וזאת הגם שמדובר בתפקיד בכיר פחות מראש הוועדה הממונה; ראו למשל את דברי ההסבר להצעת חוק הרשויות המקומיות (בחירות) (תיקון מס' 40) (הגבלת זכות המנהל הכללי להיבחר), התשע"א-2011; ראו למשל את דבריו של עו"ד עמי ברקוביץ' ממשרד המשפטים,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47); או בין תקופת הצינון של יושב ראש הוועדה הממונה לבין זו של חברי הוועדה (שעומדות שתיהן על 90 ימים; ראו למשל את דבריו של נציג המחלקה המשפטית של משרד הפנים,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בעמ' 51-50). ודוקו: היעדר ליבון ראוי של סוגיות אלו אינו מעיד, כשלעצמו, על תכליתו הפרסונלית של החקיקה; אלא מהווה עדות נוספת לחיפזון בקידומה של הצעת החוק, שעה שהחול ב"שעון החול" של תקופת הבחירות החל לאזול. התנהלות זו, מחלישה במעט את הטענה כי עניינו של בועז יוסף היה רק המניע לחקיקה, שהוביל להסדרת סוגיית התמודדותם של יושבי ראש ועדות ממונות בבחירות (לעניין ההבחנה בין המניע לחקיקה לבין תכליתה ראו גם בפסקה</w:t>
      </w:r>
      <w:r w:rsidR="00962257" w:rsidRPr="003E4F42">
        <w:rPr>
          <w:rFonts w:hint="cs"/>
          <w:rtl/>
        </w:rPr>
        <w:t xml:space="preserve"> 61</w:t>
      </w:r>
      <w:r w:rsidRPr="003E4F42">
        <w:rPr>
          <w:rFonts w:hint="cs"/>
          <w:rtl/>
        </w:rPr>
        <w:t xml:space="preserve"> להלן). </w:t>
      </w:r>
    </w:p>
    <w:p w:rsidR="001E6B43" w:rsidRPr="003E4F42" w:rsidRDefault="001E6B43" w:rsidP="001E6B43">
      <w:pPr>
        <w:pStyle w:val="Ruller4"/>
        <w:numPr>
          <w:ilvl w:val="0"/>
          <w:numId w:val="0"/>
        </w:numPr>
      </w:pPr>
    </w:p>
    <w:p w:rsidR="001E6B43" w:rsidRPr="003E4F42" w:rsidRDefault="001E6B43" w:rsidP="003A0D70">
      <w:pPr>
        <w:pStyle w:val="Ruller4"/>
      </w:pPr>
      <w:r w:rsidRPr="003E4F42">
        <w:rPr>
          <w:rFonts w:hint="cs"/>
          <w:rtl/>
        </w:rPr>
        <w:t xml:space="preserve">לצד כל האמור לעיל, דומני כי הדחיפות שראו המחוקקים בקידום הצעת החוק מלמדת גם על כך שקיבלו את העמדה העקרונית שלפיה לא ניתן "לשנות את כללי המשחק תוך כדי המשחק". דומה כי הרצון בקידומו המהיר של התיקון נשען על הרצון לתקן את הוראות החוק במועד רחוק ככל הניתן ממועד הבחירות לרשויות המקומיות. בהקשר זה ציינו חברי כנסת שונים מהקואליציה כי אין לשנות את כללי הבחירות בתוך תקופת הבחירות לרשויות המקומיות </w:t>
      </w:r>
      <w:r w:rsidRPr="003E4F42">
        <w:rPr>
          <w:rtl/>
        </w:rPr>
        <w:t>–</w:t>
      </w:r>
      <w:r w:rsidRPr="003E4F42">
        <w:rPr>
          <w:rFonts w:hint="cs"/>
          <w:rtl/>
        </w:rPr>
        <w:t xml:space="preserve"> אך סברו, מטעמיהם שלהם, שטרם החלה תקופה זו (7.6.2023, בעמ' 141; פרוטוקול הישיבה מיום 20.6.2023, בעמ' 10, 99;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4-3, 9, 25-24, 49). ואולם, כפי שהוצג לא פעם ולא </w:t>
      </w:r>
      <w:r w:rsidRPr="003E4F42">
        <w:rPr>
          <w:rFonts w:hint="cs"/>
          <w:rtl/>
        </w:rPr>
        <w:lastRenderedPageBreak/>
        <w:t xml:space="preserve">פעמיים לחברי הכנסת, תקופת הבחירות לרשויות המקומיות כבר החלה במועד הדיונים בהצעת החוק, וזאת בהתאם לפסיקת בית משפט זה בעניין </w:t>
      </w:r>
      <w:r w:rsidRPr="003E4F42">
        <w:rPr>
          <w:rFonts w:ascii="Century" w:hAnsi="Century" w:cs="Miriam" w:hint="cs"/>
          <w:b/>
          <w:spacing w:val="0"/>
          <w:sz w:val="22"/>
          <w:szCs w:val="24"/>
          <w:rtl/>
        </w:rPr>
        <w:t>לוינטל</w:t>
      </w:r>
      <w:r w:rsidRPr="003E4F42">
        <w:rPr>
          <w:rFonts w:ascii="Century" w:hAnsi="Century" w:hint="cs"/>
          <w:sz w:val="22"/>
          <w:rtl/>
        </w:rPr>
        <w:t xml:space="preserve"> (על הקושי העקרוני בשינוי כללי הבחירות בתקופת הבחירות אעמוד גם להלן, בפסקאות</w:t>
      </w:r>
      <w:r w:rsidR="003A0D70" w:rsidRPr="003E4F42">
        <w:rPr>
          <w:rFonts w:ascii="Century" w:hAnsi="Century" w:hint="cs"/>
          <w:sz w:val="22"/>
          <w:rtl/>
        </w:rPr>
        <w:t xml:space="preserve"> 57-52</w:t>
      </w:r>
      <w:r w:rsidRPr="003E4F42">
        <w:rPr>
          <w:rFonts w:ascii="Century" w:hAnsi="Century" w:hint="cs"/>
          <w:sz w:val="22"/>
          <w:rtl/>
        </w:rPr>
        <w:t xml:space="preserve">). </w:t>
      </w:r>
      <w:r w:rsidRPr="003E4F42">
        <w:rPr>
          <w:rFonts w:hint="cs"/>
          <w:rtl/>
        </w:rPr>
        <w:t xml:space="preserve">כך, במהלך החקיקה הוצגה עמדה ברורה וחד משמעית </w:t>
      </w:r>
      <w:r w:rsidRPr="003E4F42">
        <w:rPr>
          <w:rtl/>
        </w:rPr>
        <w:t>–</w:t>
      </w:r>
      <w:r w:rsidRPr="003E4F42">
        <w:rPr>
          <w:rFonts w:hint="cs"/>
          <w:rtl/>
        </w:rPr>
        <w:t xml:space="preserve"> הן מטעם משרד המשפטים, הן מטעם משרד הפנים, והן מטעם הייעוץ המשפטי של ועדת הפנים </w:t>
      </w:r>
      <w:r w:rsidRPr="003E4F42">
        <w:rPr>
          <w:rtl/>
        </w:rPr>
        <w:t>–</w:t>
      </w:r>
      <w:r w:rsidRPr="003E4F42">
        <w:rPr>
          <w:rFonts w:hint="cs"/>
          <w:rtl/>
        </w:rPr>
        <w:t xml:space="preserve"> כי במועד חקיקת החוק כבר החלה תקופת הבחירות (פרוטוקול הישיבה מיום 20.6.2023, בעמ' 101, 105; פרוטוקול הישיבה מיום 26.6.2023, בעמ' 3;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59). כן הודגש כי משרד הפנים מנחה את עצמו בכל מה שנוגע לענייני הבחירות כך שהמועד הקובע הוא 150 ימים לפני הבחירות (פרוטוקול הישיבה מיום 20.6.2023, בעמ' 105;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53). </w:t>
      </w:r>
    </w:p>
    <w:p w:rsidR="001E6B43" w:rsidRPr="003E4F42" w:rsidRDefault="001E6B43" w:rsidP="001E6B43">
      <w:pPr>
        <w:pStyle w:val="Ruller41"/>
        <w:rPr>
          <w:rtl/>
        </w:rPr>
      </w:pPr>
    </w:p>
    <w:p w:rsidR="001E6B43" w:rsidRPr="003E4F42" w:rsidRDefault="001E6B43" w:rsidP="001E6B43">
      <w:pPr>
        <w:pStyle w:val="Ruller4"/>
        <w:rPr>
          <w:rtl/>
        </w:rPr>
      </w:pPr>
      <w:r w:rsidRPr="003E4F42">
        <w:rPr>
          <w:rFonts w:hint="cs"/>
          <w:rtl/>
        </w:rPr>
        <w:t xml:space="preserve">סיכום ביניים: בחקיקת תיקון מס' 53 ביקשו המחוקק להשיג שתי תכליות, האחת, תכלית פרסונלית מובהקת במתן אפשרות לבועז יוסף להתמודד לראשות עיריית טבריה; והשנייה, תכלית עקרונית, למתן זכות לחברי ויושבי ראש ועדה ממונה להתמודד בבחירות לרשויות המקומיות באותה הרשות שבה הם מכהנים. הדחיפות בעריכת הדיונים מלמדת בעיני כי התכלית הפרסונלית ניצבה במוקד כוונת המחוקק במקרה דנן, אך היא יכולה ללמד גם על עמדתו העקרונית כי אין לשנות את כללי הבחירות לרשויות המקומיות בתוך תקופת הבחירות. </w:t>
      </w: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t>תכלית אובייקטיבית</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כאמור</w:t>
      </w:r>
      <w:r w:rsidRPr="003E4F42">
        <w:rPr>
          <w:rtl/>
        </w:rPr>
        <w:t xml:space="preserve">, </w:t>
      </w:r>
      <w:r w:rsidRPr="003E4F42">
        <w:rPr>
          <w:rFonts w:hint="cs"/>
          <w:rtl/>
        </w:rPr>
        <w:t>לצד</w:t>
      </w:r>
      <w:r w:rsidRPr="003E4F42">
        <w:rPr>
          <w:rtl/>
        </w:rPr>
        <w:t xml:space="preserve"> </w:t>
      </w:r>
      <w:r w:rsidRPr="003E4F42">
        <w:rPr>
          <w:rFonts w:hint="cs"/>
          <w:rtl/>
        </w:rPr>
        <w:t xml:space="preserve">תכליתו </w:t>
      </w:r>
      <w:r w:rsidRPr="003E4F42">
        <w:rPr>
          <w:rFonts w:hint="eastAsia"/>
          <w:rtl/>
        </w:rPr>
        <w:t>הסובייקטיבית</w:t>
      </w:r>
      <w:r w:rsidRPr="003E4F42">
        <w:rPr>
          <w:rtl/>
        </w:rPr>
        <w:t xml:space="preserve"> </w:t>
      </w:r>
      <w:r w:rsidRPr="003E4F42">
        <w:rPr>
          <w:rFonts w:hint="eastAsia"/>
          <w:rtl/>
        </w:rPr>
        <w:t>של</w:t>
      </w:r>
      <w:r w:rsidRPr="003E4F42">
        <w:rPr>
          <w:rtl/>
        </w:rPr>
        <w:t xml:space="preserve"> </w:t>
      </w:r>
      <w:r w:rsidRPr="003E4F42">
        <w:rPr>
          <w:rFonts w:hint="eastAsia"/>
          <w:rtl/>
        </w:rPr>
        <w:t>דבר</w:t>
      </w:r>
      <w:r w:rsidRPr="003E4F42">
        <w:rPr>
          <w:rtl/>
        </w:rPr>
        <w:t xml:space="preserve"> </w:t>
      </w:r>
      <w:r w:rsidRPr="003E4F42">
        <w:rPr>
          <w:rFonts w:hint="eastAsia"/>
          <w:rtl/>
        </w:rPr>
        <w:t>החקיקה</w:t>
      </w:r>
      <w:r w:rsidRPr="003E4F42">
        <w:rPr>
          <w:rtl/>
        </w:rPr>
        <w:t xml:space="preserve">, </w:t>
      </w:r>
      <w:r w:rsidRPr="003E4F42">
        <w:rPr>
          <w:rFonts w:hint="cs"/>
          <w:rtl/>
        </w:rPr>
        <w:t xml:space="preserve">ניצבת </w:t>
      </w:r>
      <w:r w:rsidRPr="003E4F42">
        <w:rPr>
          <w:rFonts w:hint="eastAsia"/>
          <w:rtl/>
        </w:rPr>
        <w:t>תכליתו</w:t>
      </w:r>
      <w:r w:rsidRPr="003E4F42">
        <w:rPr>
          <w:rtl/>
        </w:rPr>
        <w:t xml:space="preserve"> </w:t>
      </w:r>
      <w:r w:rsidRPr="003E4F42">
        <w:rPr>
          <w:rFonts w:hint="eastAsia"/>
          <w:rtl/>
        </w:rPr>
        <w:t>האובייקטיבית</w:t>
      </w:r>
      <w:r w:rsidRPr="003E4F42">
        <w:rPr>
          <w:rtl/>
        </w:rPr>
        <w:t xml:space="preserve">. </w:t>
      </w:r>
      <w:r w:rsidRPr="003E4F42">
        <w:rPr>
          <w:rFonts w:hint="cs"/>
          <w:rtl/>
        </w:rPr>
        <w:t>לעומת ה</w:t>
      </w:r>
      <w:r w:rsidRPr="003E4F42">
        <w:rPr>
          <w:rFonts w:hint="eastAsia"/>
          <w:rtl/>
        </w:rPr>
        <w:t>תכלית</w:t>
      </w:r>
      <w:r w:rsidRPr="003E4F42">
        <w:rPr>
          <w:rtl/>
        </w:rPr>
        <w:t xml:space="preserve"> </w:t>
      </w:r>
      <w:r w:rsidRPr="003E4F42">
        <w:rPr>
          <w:rFonts w:hint="eastAsia"/>
          <w:rtl/>
        </w:rPr>
        <w:t>הסובייקטיבית</w:t>
      </w:r>
      <w:r w:rsidRPr="003E4F42">
        <w:rPr>
          <w:rtl/>
        </w:rPr>
        <w:t xml:space="preserve">, </w:t>
      </w:r>
      <w:r w:rsidRPr="003E4F42">
        <w:rPr>
          <w:rFonts w:hint="cs"/>
          <w:rtl/>
        </w:rPr>
        <w:t>ש</w:t>
      </w:r>
      <w:r w:rsidRPr="003E4F42">
        <w:rPr>
          <w:rFonts w:hint="eastAsia"/>
          <w:rtl/>
        </w:rPr>
        <w:t>היא</w:t>
      </w:r>
      <w:r w:rsidRPr="003E4F42">
        <w:rPr>
          <w:rFonts w:hint="cs"/>
          <w:rtl/>
        </w:rPr>
        <w:t xml:space="preserve"> כאמור</w:t>
      </w:r>
      <w:r w:rsidRPr="003E4F42">
        <w:rPr>
          <w:rtl/>
        </w:rPr>
        <w:t xml:space="preserve"> </w:t>
      </w:r>
      <w:r w:rsidRPr="003E4F42">
        <w:rPr>
          <w:rFonts w:hint="eastAsia"/>
          <w:rtl/>
        </w:rPr>
        <w:t>כוונת</w:t>
      </w:r>
      <w:r w:rsidRPr="003E4F42">
        <w:rPr>
          <w:rtl/>
        </w:rPr>
        <w:t xml:space="preserve"> </w:t>
      </w:r>
      <w:r w:rsidRPr="003E4F42">
        <w:rPr>
          <w:rFonts w:hint="eastAsia"/>
          <w:rtl/>
        </w:rPr>
        <w:t>המחוקק</w:t>
      </w:r>
      <w:r w:rsidRPr="003E4F42">
        <w:rPr>
          <w:rtl/>
        </w:rPr>
        <w:t xml:space="preserve"> </w:t>
      </w:r>
      <w:r w:rsidRPr="003E4F42">
        <w:rPr>
          <w:rFonts w:hint="cs"/>
          <w:rtl/>
        </w:rPr>
        <w:t xml:space="preserve">שעולה </w:t>
      </w:r>
      <w:r w:rsidRPr="003E4F42">
        <w:rPr>
          <w:rFonts w:hint="eastAsia"/>
          <w:rtl/>
        </w:rPr>
        <w:t>מן</w:t>
      </w:r>
      <w:r w:rsidRPr="003E4F42">
        <w:rPr>
          <w:rtl/>
        </w:rPr>
        <w:t xml:space="preserve"> </w:t>
      </w:r>
      <w:r w:rsidRPr="003E4F42">
        <w:rPr>
          <w:rFonts w:hint="eastAsia"/>
          <w:rtl/>
        </w:rPr>
        <w:t>הבחינה</w:t>
      </w:r>
      <w:r w:rsidRPr="003E4F42">
        <w:rPr>
          <w:rtl/>
        </w:rPr>
        <w:t xml:space="preserve"> </w:t>
      </w:r>
      <w:r w:rsidRPr="003E4F42">
        <w:rPr>
          <w:rFonts w:hint="eastAsia"/>
          <w:rtl/>
        </w:rPr>
        <w:t>ההיסטורית</w:t>
      </w:r>
      <w:r w:rsidRPr="003E4F42">
        <w:rPr>
          <w:rtl/>
        </w:rPr>
        <w:t xml:space="preserve"> </w:t>
      </w:r>
      <w:r w:rsidRPr="003E4F42">
        <w:rPr>
          <w:rFonts w:hint="eastAsia"/>
          <w:rtl/>
        </w:rPr>
        <w:t>העובדתית</w:t>
      </w:r>
      <w:r w:rsidRPr="003E4F42">
        <w:rPr>
          <w:rtl/>
        </w:rPr>
        <w:t xml:space="preserve">, </w:t>
      </w:r>
      <w:r w:rsidRPr="003E4F42">
        <w:rPr>
          <w:rFonts w:hint="eastAsia"/>
          <w:rtl/>
        </w:rPr>
        <w:t>התכלית</w:t>
      </w:r>
      <w:r w:rsidRPr="003E4F42">
        <w:rPr>
          <w:rtl/>
        </w:rPr>
        <w:t xml:space="preserve"> </w:t>
      </w:r>
      <w:r w:rsidRPr="003E4F42">
        <w:rPr>
          <w:rFonts w:hint="eastAsia"/>
          <w:rtl/>
        </w:rPr>
        <w:t>האובייקטיבית</w:t>
      </w:r>
      <w:r w:rsidRPr="003E4F42">
        <w:rPr>
          <w:rtl/>
        </w:rPr>
        <w:t xml:space="preserve"> </w:t>
      </w:r>
      <w:r w:rsidRPr="003E4F42">
        <w:rPr>
          <w:rFonts w:hint="cs"/>
          <w:rtl/>
        </w:rPr>
        <w:t>עניינה ב</w:t>
      </w:r>
      <w:r w:rsidRPr="003E4F42">
        <w:rPr>
          <w:rFonts w:hint="eastAsia"/>
          <w:rtl/>
        </w:rPr>
        <w:t>עקרונות</w:t>
      </w:r>
      <w:r w:rsidRPr="003E4F42">
        <w:rPr>
          <w:rtl/>
        </w:rPr>
        <w:t xml:space="preserve"> </w:t>
      </w:r>
      <w:r w:rsidRPr="003E4F42">
        <w:rPr>
          <w:rFonts w:hint="eastAsia"/>
          <w:rtl/>
        </w:rPr>
        <w:t>היסוד</w:t>
      </w:r>
      <w:r w:rsidRPr="003E4F42">
        <w:rPr>
          <w:rtl/>
        </w:rPr>
        <w:t xml:space="preserve"> </w:t>
      </w:r>
      <w:r w:rsidRPr="003E4F42">
        <w:rPr>
          <w:rFonts w:hint="eastAsia"/>
          <w:rtl/>
        </w:rPr>
        <w:t>של</w:t>
      </w:r>
      <w:r w:rsidRPr="003E4F42">
        <w:rPr>
          <w:rtl/>
        </w:rPr>
        <w:t xml:space="preserve"> </w:t>
      </w:r>
      <w:r w:rsidRPr="003E4F42">
        <w:rPr>
          <w:rFonts w:hint="cs"/>
          <w:rtl/>
        </w:rPr>
        <w:t>שיטתנו</w:t>
      </w:r>
      <w:r w:rsidRPr="003E4F42">
        <w:rPr>
          <w:rtl/>
        </w:rPr>
        <w:t xml:space="preserve"> </w:t>
      </w:r>
      <w:r w:rsidRPr="003E4F42">
        <w:rPr>
          <w:rFonts w:hint="eastAsia"/>
          <w:rtl/>
        </w:rPr>
        <w:t>המשפטית</w:t>
      </w:r>
      <w:r w:rsidRPr="003E4F42">
        <w:rPr>
          <w:rtl/>
        </w:rPr>
        <w:t xml:space="preserve"> </w:t>
      </w:r>
      <w:r w:rsidRPr="003E4F42">
        <w:rPr>
          <w:rFonts w:hint="eastAsia"/>
          <w:rtl/>
        </w:rPr>
        <w:t>והשיקולים</w:t>
      </w:r>
      <w:r w:rsidRPr="003E4F42">
        <w:rPr>
          <w:rtl/>
        </w:rPr>
        <w:t xml:space="preserve"> </w:t>
      </w:r>
      <w:r w:rsidRPr="003E4F42">
        <w:rPr>
          <w:rFonts w:hint="eastAsia"/>
          <w:rtl/>
        </w:rPr>
        <w:t>הכללי</w:t>
      </w:r>
      <w:r w:rsidRPr="003E4F42">
        <w:rPr>
          <w:rFonts w:hint="cs"/>
          <w:rtl/>
        </w:rPr>
        <w:t>י</w:t>
      </w:r>
      <w:r w:rsidRPr="003E4F42">
        <w:rPr>
          <w:rFonts w:hint="eastAsia"/>
          <w:rtl/>
        </w:rPr>
        <w:t>ם</w:t>
      </w:r>
      <w:r w:rsidRPr="003E4F42">
        <w:rPr>
          <w:rtl/>
        </w:rPr>
        <w:t xml:space="preserve"> </w:t>
      </w:r>
      <w:r w:rsidRPr="003E4F42">
        <w:rPr>
          <w:rFonts w:hint="eastAsia"/>
          <w:rtl/>
        </w:rPr>
        <w:t>הנוגעים</w:t>
      </w:r>
      <w:r w:rsidRPr="003E4F42">
        <w:rPr>
          <w:rtl/>
        </w:rPr>
        <w:t xml:space="preserve"> </w:t>
      </w:r>
      <w:r w:rsidRPr="003E4F42">
        <w:rPr>
          <w:rFonts w:hint="eastAsia"/>
          <w:rtl/>
        </w:rPr>
        <w:t>לאינטרס</w:t>
      </w:r>
      <w:r w:rsidRPr="003E4F42">
        <w:rPr>
          <w:rtl/>
        </w:rPr>
        <w:t xml:space="preserve"> </w:t>
      </w:r>
      <w:r w:rsidRPr="003E4F42">
        <w:rPr>
          <w:rFonts w:hint="eastAsia"/>
          <w:rtl/>
        </w:rPr>
        <w:t>הציבורי</w:t>
      </w:r>
      <w:r w:rsidRPr="003E4F42">
        <w:rPr>
          <w:rtl/>
        </w:rPr>
        <w:t xml:space="preserve"> </w:t>
      </w:r>
      <w:r w:rsidRPr="003E4F42">
        <w:rPr>
          <w:rFonts w:hint="eastAsia"/>
          <w:rtl/>
        </w:rPr>
        <w:t>באשר</w:t>
      </w:r>
      <w:r w:rsidRPr="003E4F42">
        <w:rPr>
          <w:rtl/>
        </w:rPr>
        <w:t xml:space="preserve"> </w:t>
      </w:r>
      <w:r w:rsidRPr="003E4F42">
        <w:rPr>
          <w:rFonts w:hint="eastAsia"/>
          <w:rtl/>
        </w:rPr>
        <w:t>לאופן</w:t>
      </w:r>
      <w:r w:rsidRPr="003E4F42">
        <w:rPr>
          <w:rtl/>
        </w:rPr>
        <w:t xml:space="preserve"> </w:t>
      </w:r>
      <w:r w:rsidRPr="003E4F42">
        <w:rPr>
          <w:rFonts w:hint="eastAsia"/>
          <w:rtl/>
        </w:rPr>
        <w:t>יישומו</w:t>
      </w:r>
      <w:r w:rsidRPr="003E4F42">
        <w:rPr>
          <w:rtl/>
        </w:rPr>
        <w:t xml:space="preserve"> </w:t>
      </w:r>
      <w:r w:rsidRPr="003E4F42">
        <w:rPr>
          <w:rFonts w:hint="eastAsia"/>
          <w:rtl/>
        </w:rPr>
        <w:t>של</w:t>
      </w:r>
      <w:r w:rsidRPr="003E4F42">
        <w:rPr>
          <w:rtl/>
        </w:rPr>
        <w:t xml:space="preserve"> </w:t>
      </w:r>
      <w:r w:rsidRPr="003E4F42">
        <w:rPr>
          <w:rFonts w:hint="eastAsia"/>
          <w:rtl/>
        </w:rPr>
        <w:t>דבר</w:t>
      </w:r>
      <w:r w:rsidRPr="003E4F42">
        <w:rPr>
          <w:rtl/>
        </w:rPr>
        <w:t xml:space="preserve"> </w:t>
      </w:r>
      <w:r w:rsidRPr="003E4F42">
        <w:rPr>
          <w:rFonts w:hint="eastAsia"/>
          <w:rtl/>
        </w:rPr>
        <w:t>החקיקה</w:t>
      </w:r>
      <w:r w:rsidRPr="003E4F42">
        <w:rPr>
          <w:rtl/>
        </w:rPr>
        <w:t xml:space="preserve"> (</w:t>
      </w:r>
      <w:r w:rsidRPr="003E4F42">
        <w:rPr>
          <w:rFonts w:hint="cs"/>
          <w:rtl/>
        </w:rPr>
        <w:t xml:space="preserve">עניין </w:t>
      </w:r>
      <w:r w:rsidRPr="003E4F42">
        <w:rPr>
          <w:rFonts w:ascii="Century" w:hAnsi="Century" w:cs="Miriam" w:hint="cs"/>
          <w:b/>
          <w:spacing w:val="0"/>
          <w:sz w:val="22"/>
          <w:szCs w:val="24"/>
          <w:rtl/>
        </w:rPr>
        <w:t>לוונשטיין לוי</w:t>
      </w:r>
      <w:r w:rsidRPr="003E4F42">
        <w:rPr>
          <w:rFonts w:ascii="Century" w:hAnsi="Century" w:hint="cs"/>
          <w:sz w:val="22"/>
          <w:rtl/>
        </w:rPr>
        <w:t>, פסקה 24; עניין</w:t>
      </w:r>
      <w:r w:rsidRPr="003E4F42">
        <w:rPr>
          <w:rFonts w:ascii="Century" w:hAnsi="Century" w:cs="Miriam"/>
          <w:b/>
          <w:spacing w:val="0"/>
          <w:sz w:val="22"/>
          <w:szCs w:val="24"/>
          <w:rtl/>
        </w:rPr>
        <w:t>‏</w:t>
      </w:r>
      <w:r w:rsidRPr="003E4F42">
        <w:rPr>
          <w:rFonts w:ascii="Century" w:hAnsi="Century" w:cs="Miriam" w:hint="cs"/>
          <w:b/>
          <w:spacing w:val="0"/>
          <w:sz w:val="22"/>
          <w:szCs w:val="24"/>
          <w:rtl/>
        </w:rPr>
        <w:t xml:space="preserve"> </w:t>
      </w:r>
      <w:r w:rsidRPr="003E4F42">
        <w:rPr>
          <w:rFonts w:ascii="Century" w:hAnsi="Century" w:cs="Miriam" w:hint="eastAsia"/>
          <w:b/>
          <w:spacing w:val="0"/>
          <w:sz w:val="22"/>
          <w:szCs w:val="24"/>
          <w:rtl/>
        </w:rPr>
        <w:t>אלמיזרק</w:t>
      </w:r>
      <w:r w:rsidRPr="003E4F42">
        <w:rPr>
          <w:rtl/>
        </w:rPr>
        <w:t xml:space="preserve">, </w:t>
      </w:r>
      <w:r w:rsidRPr="003E4F42">
        <w:rPr>
          <w:rFonts w:hint="eastAsia"/>
          <w:rtl/>
        </w:rPr>
        <w:t>פסקה</w:t>
      </w:r>
      <w:r w:rsidRPr="003E4F42">
        <w:rPr>
          <w:rtl/>
        </w:rPr>
        <w:t xml:space="preserve"> 13</w:t>
      </w:r>
      <w:r w:rsidRPr="003E4F42">
        <w:rPr>
          <w:rFonts w:hint="cs"/>
          <w:rtl/>
        </w:rPr>
        <w:t xml:space="preserve">; </w:t>
      </w:r>
      <w:r w:rsidRPr="003E4F42">
        <w:rPr>
          <w:rFonts w:hint="eastAsia"/>
          <w:rtl/>
        </w:rPr>
        <w:t>ברק</w:t>
      </w:r>
      <w:r w:rsidRPr="003E4F42">
        <w:rPr>
          <w:rtl/>
        </w:rPr>
        <w:t>,</w:t>
      </w:r>
      <w:r w:rsidRPr="003E4F42">
        <w:rPr>
          <w:rFonts w:hint="cs"/>
          <w:rtl/>
        </w:rPr>
        <w:t xml:space="preserve"> פרשנות החקיקה,</w:t>
      </w:r>
      <w:r w:rsidRPr="003E4F42">
        <w:rPr>
          <w:rtl/>
        </w:rPr>
        <w:t xml:space="preserve"> </w:t>
      </w:r>
      <w:r w:rsidRPr="003E4F42">
        <w:rPr>
          <w:rFonts w:hint="eastAsia"/>
          <w:rtl/>
        </w:rPr>
        <w:t>בעמ</w:t>
      </w:r>
      <w:r w:rsidRPr="003E4F42">
        <w:rPr>
          <w:rtl/>
        </w:rPr>
        <w:t>' 249).</w:t>
      </w:r>
      <w:r w:rsidRPr="003E4F42">
        <w:rPr>
          <w:rFonts w:hint="cs"/>
          <w:rtl/>
        </w:rPr>
        <w:t xml:space="preserve"> דומה כי</w:t>
      </w:r>
      <w:r w:rsidRPr="003E4F42">
        <w:rPr>
          <w:rtl/>
        </w:rPr>
        <w:t xml:space="preserve"> </w:t>
      </w:r>
      <w:r w:rsidRPr="003E4F42">
        <w:rPr>
          <w:rFonts w:hint="cs"/>
          <w:rtl/>
        </w:rPr>
        <w:t xml:space="preserve">המטרות והאינטרסים העיקריים בבסיסו של תיקון מס' 53 נוגעים לחשיבותה של הזכות לבחור ולהיבחר במישור המוניציפלי ולאיזונה עם האינטרס הציבורי במימוש תכליותיהן של ועדות ממונות. ואולם, כאמור, השאלה בענייננו אינה תכליתו האובייקטיבית של תיקון מס' 53 כשלעצמו, אלא תכלית תחולתו במישור הזמן. כפי שיפורט להלן, אני סבור כי העמדה הפרשנית שלפיה התיקון חל בבחירות הקרובות מעוררת קשיים ממשיים, הן במישור הרטרוספקטיביות, הן במישור הכלליות של החוק. במישור הרטרוספקטיביות, עמדה פרשנית זו לוקה בשתיים: הן </w:t>
      </w:r>
      <w:r w:rsidRPr="003E4F42">
        <w:rPr>
          <w:rFonts w:hint="cs"/>
          <w:rtl/>
        </w:rPr>
        <w:lastRenderedPageBreak/>
        <w:t xml:space="preserve">בהשלכותיה כלפי ועדות ממונות שמונו בעבר ובמשמעות מעשיהן; הן בשינוי כללי הבחירות לאחר תחילתה של תקופת הבחירות. </w:t>
      </w:r>
    </w:p>
    <w:p w:rsidR="001E6B43" w:rsidRPr="003E4F42" w:rsidRDefault="001E6B43" w:rsidP="001E6B43">
      <w:pPr>
        <w:pStyle w:val="Ruller41"/>
      </w:pPr>
    </w:p>
    <w:p w:rsidR="001E6B43" w:rsidRPr="003E4F42" w:rsidRDefault="001E6B43" w:rsidP="001E6B43">
      <w:pPr>
        <w:pStyle w:val="1"/>
        <w:rPr>
          <w:rtl/>
        </w:rPr>
      </w:pPr>
      <w:r w:rsidRPr="003E4F42">
        <w:rPr>
          <w:rFonts w:hint="cs"/>
          <w:rtl/>
        </w:rPr>
        <w:t>חזקה נגד תחולה למפרע (רטרוספקטיבית)</w:t>
      </w:r>
    </w:p>
    <w:p w:rsidR="001E6B43" w:rsidRPr="003E4F42" w:rsidRDefault="001E6B43" w:rsidP="001E6B43">
      <w:pPr>
        <w:pStyle w:val="Ruller41"/>
        <w:rPr>
          <w:rFonts w:ascii="Century" w:hAnsi="Century"/>
          <w:b/>
          <w:bCs/>
          <w:rtl/>
        </w:rPr>
      </w:pPr>
    </w:p>
    <w:p w:rsidR="001E6B43" w:rsidRPr="003E4F42" w:rsidRDefault="001E6B43" w:rsidP="001E6B43">
      <w:pPr>
        <w:pStyle w:val="Ruller4"/>
      </w:pPr>
      <w:r w:rsidRPr="003E4F42">
        <w:rPr>
          <w:rFonts w:hint="cs"/>
          <w:rtl/>
        </w:rPr>
        <w:t xml:space="preserve">ככלל, המשפט מסתייג מנורמות בעלות תחולה למפרע. מאחר שהחוק נועד להסדיר יחסים בין בני אדם ולהכווין התנהגותם, הוא על פי טבעו צופה פני עתיד (עניין </w:t>
      </w:r>
      <w:r w:rsidRPr="003E4F42">
        <w:rPr>
          <w:rFonts w:ascii="Century" w:hAnsi="Century" w:cs="Miriam" w:hint="cs"/>
          <w:b/>
          <w:spacing w:val="0"/>
          <w:sz w:val="22"/>
          <w:szCs w:val="24"/>
          <w:rtl/>
        </w:rPr>
        <w:t>אורט</w:t>
      </w:r>
      <w:r w:rsidRPr="003E4F42">
        <w:rPr>
          <w:rFonts w:ascii="Century" w:hAnsi="Century" w:hint="cs"/>
          <w:sz w:val="22"/>
          <w:rtl/>
        </w:rPr>
        <w:t>, פסקה 29; עניין</w:t>
      </w:r>
      <w:r w:rsidRPr="003E4F42">
        <w:rPr>
          <w:rFonts w:hint="cs"/>
          <w:rtl/>
        </w:rPr>
        <w:t xml:space="preserve"> </w:t>
      </w:r>
      <w:r w:rsidRPr="003E4F42">
        <w:rPr>
          <w:rFonts w:ascii="Century" w:hAnsi="Century" w:cs="Miriam" w:hint="cs"/>
          <w:b/>
          <w:spacing w:val="0"/>
          <w:sz w:val="22"/>
          <w:szCs w:val="24"/>
          <w:rtl/>
        </w:rPr>
        <w:t>גניס</w:t>
      </w:r>
      <w:r w:rsidRPr="003E4F42">
        <w:rPr>
          <w:rFonts w:ascii="Century" w:hAnsi="Century" w:hint="cs"/>
          <w:sz w:val="22"/>
          <w:rtl/>
        </w:rPr>
        <w:t>, בעמ' 258</w:t>
      </w:r>
      <w:r w:rsidRPr="003E4F42">
        <w:rPr>
          <w:rFonts w:hint="cs"/>
          <w:rtl/>
        </w:rPr>
        <w:t xml:space="preserve">). תחולה למפרע של חוק פוגעת בעקרונות יסוד של צדק והגינות; היא פוגעת ביכולת ההסתמכות על החוק וביציבות המשפטית; והיא פוגעת באמון הציבור במוסדות השלטון </w:t>
      </w:r>
      <w:r w:rsidRPr="003E4F42">
        <w:rPr>
          <w:rtl/>
        </w:rPr>
        <w:t>–</w:t>
      </w:r>
      <w:r w:rsidRPr="003E4F42">
        <w:rPr>
          <w:rFonts w:hint="cs"/>
          <w:rtl/>
        </w:rPr>
        <w:t xml:space="preserve"> ומשכך היא דבר חריג בנוף המשפטי (בג"ץ 687/15 </w:t>
      </w:r>
      <w:r w:rsidRPr="003E4F42">
        <w:rPr>
          <w:rFonts w:ascii="Century" w:hAnsi="Century" w:cs="Miriam" w:hint="cs"/>
          <w:b/>
          <w:spacing w:val="0"/>
          <w:sz w:val="22"/>
          <w:szCs w:val="24"/>
          <w:rtl/>
        </w:rPr>
        <w:t>ידיד נ' הכנסת</w:t>
      </w:r>
      <w:r w:rsidRPr="003E4F42">
        <w:rPr>
          <w:rFonts w:ascii="Century" w:hAnsi="Century" w:hint="cs"/>
          <w:sz w:val="22"/>
          <w:rtl/>
        </w:rPr>
        <w:t xml:space="preserve">, פסקה 30 (9.7.2015) (להלן: עניין </w:t>
      </w:r>
      <w:r w:rsidRPr="003E4F42">
        <w:rPr>
          <w:rFonts w:ascii="Century" w:hAnsi="Century" w:cs="Miriam" w:hint="cs"/>
          <w:b/>
          <w:spacing w:val="0"/>
          <w:sz w:val="22"/>
          <w:szCs w:val="24"/>
          <w:rtl/>
        </w:rPr>
        <w:t>ידיד</w:t>
      </w:r>
      <w:r w:rsidRPr="003E4F42">
        <w:rPr>
          <w:rFonts w:ascii="Century" w:hAnsi="Century" w:hint="cs"/>
          <w:sz w:val="22"/>
          <w:rtl/>
        </w:rPr>
        <w:t>); עניין</w:t>
      </w:r>
      <w:r w:rsidRPr="003E4F42">
        <w:rPr>
          <w:rFonts w:hint="cs"/>
          <w:rtl/>
        </w:rPr>
        <w:t xml:space="preserve"> </w:t>
      </w:r>
      <w:r w:rsidRPr="003E4F42">
        <w:rPr>
          <w:rFonts w:ascii="Century" w:hAnsi="Century" w:cs="Miriam" w:hint="eastAsia"/>
          <w:b/>
          <w:spacing w:val="0"/>
          <w:sz w:val="22"/>
          <w:szCs w:val="24"/>
          <w:rtl/>
        </w:rPr>
        <w:t>ארביב</w:t>
      </w:r>
      <w:r w:rsidRPr="003E4F42">
        <w:rPr>
          <w:rFonts w:ascii="Century" w:hAnsi="Century"/>
          <w:sz w:val="22"/>
          <w:rtl/>
        </w:rPr>
        <w:t xml:space="preserve"> </w:t>
      </w:r>
      <w:r w:rsidRPr="003E4F42">
        <w:rPr>
          <w:rFonts w:ascii="Century" w:hAnsi="Century" w:hint="cs"/>
          <w:sz w:val="22"/>
          <w:rtl/>
        </w:rPr>
        <w:t>בעמ'</w:t>
      </w:r>
      <w:r w:rsidRPr="003E4F42">
        <w:rPr>
          <w:rFonts w:ascii="Century" w:hAnsi="Century"/>
          <w:rtl/>
        </w:rPr>
        <w:t xml:space="preserve"> 776</w:t>
      </w:r>
      <w:r w:rsidRPr="003E4F42">
        <w:rPr>
          <w:rFonts w:ascii="Century" w:hAnsi="Century" w:hint="cs"/>
          <w:rtl/>
        </w:rPr>
        <w:t xml:space="preserve">; ברק, פרשנות החקיקה, בעמ' 621-619; </w:t>
      </w:r>
      <w:r w:rsidRPr="003E4F42">
        <w:rPr>
          <w:rFonts w:ascii="Century" w:hAnsi="Century" w:hint="eastAsia"/>
          <w:rtl/>
        </w:rPr>
        <w:t>יניב</w:t>
      </w:r>
      <w:r w:rsidRPr="003E4F42">
        <w:rPr>
          <w:rFonts w:ascii="Century" w:hAnsi="Century"/>
          <w:rtl/>
        </w:rPr>
        <w:t xml:space="preserve"> </w:t>
      </w:r>
      <w:r w:rsidRPr="003E4F42">
        <w:rPr>
          <w:rFonts w:ascii="Century" w:hAnsi="Century" w:hint="eastAsia"/>
          <w:rtl/>
        </w:rPr>
        <w:t>רוזנאי</w:t>
      </w:r>
      <w:r w:rsidRPr="003E4F42">
        <w:rPr>
          <w:rFonts w:ascii="Century" w:hAnsi="Century"/>
          <w:rtl/>
        </w:rPr>
        <w:t xml:space="preserve"> "</w:t>
      </w:r>
      <w:r w:rsidRPr="003E4F42">
        <w:rPr>
          <w:rFonts w:ascii="Century" w:hAnsi="Century" w:hint="eastAsia"/>
          <w:rtl/>
        </w:rPr>
        <w:t>רטרואקטיביות</w:t>
      </w:r>
      <w:r w:rsidRPr="003E4F42">
        <w:rPr>
          <w:rFonts w:ascii="Century" w:hAnsi="Century"/>
          <w:rtl/>
        </w:rPr>
        <w:t xml:space="preserve"> – </w:t>
      </w:r>
      <w:r w:rsidRPr="003E4F42">
        <w:rPr>
          <w:rFonts w:ascii="Century" w:hAnsi="Century" w:hint="eastAsia"/>
          <w:rtl/>
        </w:rPr>
        <w:t>יותר</w:t>
      </w:r>
      <w:r w:rsidRPr="003E4F42">
        <w:rPr>
          <w:rFonts w:ascii="Century" w:hAnsi="Century"/>
          <w:rtl/>
        </w:rPr>
        <w:t xml:space="preserve"> </w:t>
      </w:r>
      <w:r w:rsidRPr="003E4F42">
        <w:rPr>
          <w:rFonts w:ascii="Century" w:hAnsi="Century" w:hint="eastAsia"/>
          <w:rtl/>
        </w:rPr>
        <w:t>מאשר</w:t>
      </w:r>
      <w:r w:rsidRPr="003E4F42">
        <w:rPr>
          <w:rFonts w:ascii="Century" w:hAnsi="Century"/>
          <w:rtl/>
        </w:rPr>
        <w:t xml:space="preserve"> '</w:t>
      </w:r>
      <w:r w:rsidRPr="003E4F42">
        <w:rPr>
          <w:rFonts w:ascii="Century" w:hAnsi="Century" w:hint="eastAsia"/>
          <w:rtl/>
        </w:rPr>
        <w:t>רק</w:t>
      </w:r>
      <w:r w:rsidRPr="003E4F42">
        <w:rPr>
          <w:rFonts w:ascii="Century" w:hAnsi="Century"/>
          <w:rtl/>
        </w:rPr>
        <w:t xml:space="preserve"> </w:t>
      </w:r>
      <w:r w:rsidRPr="003E4F42">
        <w:rPr>
          <w:rFonts w:ascii="Century" w:hAnsi="Century" w:hint="eastAsia"/>
          <w:rtl/>
        </w:rPr>
        <w:t>עניין</w:t>
      </w:r>
      <w:r w:rsidRPr="003E4F42">
        <w:rPr>
          <w:rFonts w:ascii="Century" w:hAnsi="Century"/>
          <w:rtl/>
        </w:rPr>
        <w:t xml:space="preserve"> </w:t>
      </w:r>
      <w:r w:rsidRPr="003E4F42">
        <w:rPr>
          <w:rFonts w:ascii="Century" w:hAnsi="Century" w:hint="eastAsia"/>
          <w:rtl/>
        </w:rPr>
        <w:t>של</w:t>
      </w:r>
      <w:r w:rsidRPr="003E4F42">
        <w:rPr>
          <w:rFonts w:ascii="Century" w:hAnsi="Century"/>
          <w:rtl/>
        </w:rPr>
        <w:t xml:space="preserve"> </w:t>
      </w:r>
      <w:r w:rsidRPr="003E4F42">
        <w:rPr>
          <w:rFonts w:ascii="Century" w:hAnsi="Century" w:hint="eastAsia"/>
          <w:rtl/>
        </w:rPr>
        <w:t>זמן</w:t>
      </w:r>
      <w:r w:rsidRPr="003E4F42">
        <w:rPr>
          <w:rFonts w:ascii="Century" w:hAnsi="Century"/>
          <w:rtl/>
        </w:rPr>
        <w:t xml:space="preserve">'! </w:t>
      </w:r>
      <w:r w:rsidRPr="003E4F42">
        <w:rPr>
          <w:rFonts w:ascii="Century" w:hAnsi="Century" w:hint="eastAsia"/>
          <w:rtl/>
        </w:rPr>
        <w:t>מחשבות</w:t>
      </w:r>
      <w:r w:rsidRPr="003E4F42">
        <w:rPr>
          <w:rFonts w:ascii="Century" w:hAnsi="Century"/>
          <w:rtl/>
        </w:rPr>
        <w:t xml:space="preserve"> </w:t>
      </w:r>
      <w:r w:rsidRPr="003E4F42">
        <w:rPr>
          <w:rFonts w:ascii="Century" w:hAnsi="Century" w:hint="eastAsia"/>
          <w:rtl/>
        </w:rPr>
        <w:t>על</w:t>
      </w:r>
      <w:r w:rsidRPr="003E4F42">
        <w:rPr>
          <w:rFonts w:ascii="Century" w:hAnsi="Century"/>
          <w:rtl/>
        </w:rPr>
        <w:t xml:space="preserve"> </w:t>
      </w:r>
      <w:r w:rsidRPr="003E4F42">
        <w:rPr>
          <w:rFonts w:ascii="Century" w:hAnsi="Century" w:hint="eastAsia"/>
          <w:rtl/>
        </w:rPr>
        <w:t>ניתוח</w:t>
      </w:r>
      <w:r w:rsidRPr="003E4F42">
        <w:rPr>
          <w:rFonts w:ascii="Century" w:hAnsi="Century"/>
          <w:rtl/>
        </w:rPr>
        <w:t xml:space="preserve"> </w:t>
      </w:r>
      <w:r w:rsidRPr="003E4F42">
        <w:rPr>
          <w:rFonts w:ascii="Century" w:hAnsi="Century" w:hint="eastAsia"/>
          <w:rtl/>
        </w:rPr>
        <w:t>חקיקה</w:t>
      </w:r>
      <w:r w:rsidRPr="003E4F42">
        <w:rPr>
          <w:rFonts w:ascii="Century" w:hAnsi="Century"/>
          <w:rtl/>
        </w:rPr>
        <w:t xml:space="preserve"> </w:t>
      </w:r>
      <w:r w:rsidRPr="003E4F42">
        <w:rPr>
          <w:rFonts w:ascii="Century" w:hAnsi="Century" w:hint="eastAsia"/>
          <w:rtl/>
        </w:rPr>
        <w:t>רטרואקטיבית</w:t>
      </w:r>
      <w:r w:rsidRPr="003E4F42">
        <w:rPr>
          <w:rFonts w:ascii="Century" w:hAnsi="Century"/>
          <w:rtl/>
        </w:rPr>
        <w:t xml:space="preserve"> </w:t>
      </w:r>
      <w:r w:rsidRPr="003E4F42">
        <w:rPr>
          <w:rFonts w:ascii="Century" w:hAnsi="Century" w:hint="eastAsia"/>
          <w:rtl/>
        </w:rPr>
        <w:t>בעקבות</w:t>
      </w:r>
      <w:r w:rsidRPr="003E4F42">
        <w:rPr>
          <w:rFonts w:ascii="Century" w:hAnsi="Century"/>
          <w:rtl/>
        </w:rPr>
        <w:t xml:space="preserve"> </w:t>
      </w:r>
      <w:r w:rsidRPr="003E4F42">
        <w:rPr>
          <w:rFonts w:ascii="Century" w:hAnsi="Century" w:hint="eastAsia"/>
          <w:rtl/>
        </w:rPr>
        <w:t>בג</w:t>
      </w:r>
      <w:r w:rsidRPr="003E4F42">
        <w:rPr>
          <w:rFonts w:ascii="Century" w:hAnsi="Century"/>
          <w:rtl/>
        </w:rPr>
        <w:t>"</w:t>
      </w:r>
      <w:r w:rsidRPr="003E4F42">
        <w:rPr>
          <w:rFonts w:ascii="Century" w:hAnsi="Century" w:hint="eastAsia"/>
          <w:rtl/>
        </w:rPr>
        <w:t>ץ</w:t>
      </w:r>
      <w:r w:rsidRPr="003E4F42">
        <w:rPr>
          <w:rFonts w:ascii="Century" w:hAnsi="Century"/>
          <w:rtl/>
        </w:rPr>
        <w:t xml:space="preserve"> </w:t>
      </w:r>
      <w:r w:rsidRPr="003E4F42">
        <w:rPr>
          <w:rFonts w:ascii="Century" w:hAnsi="Century" w:hint="eastAsia"/>
          <w:rtl/>
        </w:rPr>
        <w:t>גניס</w:t>
      </w:r>
      <w:r w:rsidRPr="003E4F42">
        <w:rPr>
          <w:rFonts w:ascii="Century" w:hAnsi="Century"/>
          <w:rtl/>
        </w:rPr>
        <w:t xml:space="preserve">" </w:t>
      </w:r>
      <w:r w:rsidRPr="003E4F42">
        <w:rPr>
          <w:rFonts w:ascii="Century" w:hAnsi="Century" w:cs="Miriam" w:hint="eastAsia"/>
          <w:b/>
          <w:spacing w:val="0"/>
          <w:sz w:val="22"/>
          <w:szCs w:val="24"/>
          <w:rtl/>
        </w:rPr>
        <w:t>משפט</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ועסקים</w:t>
      </w:r>
      <w:r w:rsidRPr="003E4F42">
        <w:rPr>
          <w:rFonts w:ascii="Century" w:hAnsi="Century"/>
          <w:rtl/>
        </w:rPr>
        <w:t xml:space="preserve"> </w:t>
      </w:r>
      <w:r w:rsidRPr="003E4F42">
        <w:rPr>
          <w:rFonts w:ascii="Century" w:hAnsi="Century" w:hint="eastAsia"/>
          <w:rtl/>
        </w:rPr>
        <w:t>ט</w:t>
      </w:r>
      <w:r w:rsidRPr="003E4F42">
        <w:rPr>
          <w:rFonts w:ascii="Century" w:hAnsi="Century"/>
          <w:rtl/>
        </w:rPr>
        <w:t xml:space="preserve"> 395, 410-405 (2008)</w:t>
      </w:r>
      <w:r w:rsidRPr="003E4F42">
        <w:rPr>
          <w:rFonts w:hint="cs"/>
          <w:rtl/>
        </w:rPr>
        <w:t xml:space="preserve">). חקיקה היא רטרוספקטיבית אם היא משנה לגבי העתיד את המעמד המשפטי, התכונות המשפטיות או התוצאות המשפטיות של מצבים שנסתיימו או של פעולות או אירועים שנעשו או שהתרחשו לפני מועד כניסתו של החוק לתוקף (עניין </w:t>
      </w:r>
      <w:r w:rsidRPr="003E4F42">
        <w:rPr>
          <w:rFonts w:ascii="Century" w:hAnsi="Century" w:cs="Miriam" w:hint="cs"/>
          <w:b/>
          <w:spacing w:val="0"/>
          <w:sz w:val="22"/>
          <w:szCs w:val="24"/>
          <w:rtl/>
        </w:rPr>
        <w:t>ארביב</w:t>
      </w:r>
      <w:r w:rsidRPr="003E4F42">
        <w:rPr>
          <w:rFonts w:ascii="Century" w:hAnsi="Century" w:hint="cs"/>
          <w:sz w:val="22"/>
          <w:rtl/>
        </w:rPr>
        <w:t>, בעמ' 777</w:t>
      </w:r>
      <w:r w:rsidRPr="003E4F42">
        <w:rPr>
          <w:rFonts w:hint="cs"/>
          <w:rtl/>
        </w:rPr>
        <w:t>). על הקושי שמעוררת חקיקה רטרוספקטיבית ועל המשקל שיש ליתן לשיקול זה בפרשנות החקיקה כבר נפסק בזו הלשון:</w:t>
      </w:r>
    </w:p>
    <w:p w:rsidR="001E6B43" w:rsidRPr="003E4F42" w:rsidRDefault="001E6B43" w:rsidP="001E6B43">
      <w:pPr>
        <w:pStyle w:val="Ruller4"/>
        <w:numPr>
          <w:ilvl w:val="0"/>
          <w:numId w:val="0"/>
        </w:numPr>
      </w:pPr>
    </w:p>
    <w:p w:rsidR="001E6B43" w:rsidRPr="003E4F42" w:rsidRDefault="001E6B43" w:rsidP="001E6B43">
      <w:pPr>
        <w:pStyle w:val="Ruller5"/>
      </w:pPr>
      <w:r w:rsidRPr="003E4F42">
        <w:rPr>
          <w:rFonts w:hint="cs"/>
          <w:rtl/>
        </w:rPr>
        <w:t>"</w:t>
      </w:r>
      <w:r w:rsidRPr="003E4F42">
        <w:rPr>
          <w:rFonts w:ascii="FrankRuehl" w:hAnsi="FrankRuehl"/>
          <w:color w:val="000000"/>
          <w:rtl/>
        </w:rPr>
        <w:t>בבואנו לפרש את כוונ</w:t>
      </w:r>
      <w:r w:rsidRPr="003E4F42">
        <w:rPr>
          <w:rFonts w:ascii="FrankRuehl" w:hAnsi="FrankRuehl" w:hint="cs"/>
          <w:color w:val="000000"/>
          <w:rtl/>
        </w:rPr>
        <w:t>ו</w:t>
      </w:r>
      <w:r w:rsidRPr="003E4F42">
        <w:rPr>
          <w:rFonts w:ascii="FrankRuehl" w:hAnsi="FrankRuehl"/>
          <w:color w:val="000000"/>
          <w:rtl/>
        </w:rPr>
        <w:t>תיו של המחוקק, עלינו לזכור כי אינטרסים חברתיים שונים משפיעים על היווצרותו של חיקוק ועוד עלינו לזכור כי האינטרס החברתי הראשון במעלה הוא שיהיה החוק שווה לכל נפש. על אחת כמה וכמה כשמדובר בתחולתו הרטרוספקטיבית של חיקוק; כי אז האינטרס הציבורי אשר חשיבותו עולה ע</w:t>
      </w:r>
      <w:r w:rsidRPr="003E4F42">
        <w:rPr>
          <w:rFonts w:ascii="FrankRuehl" w:hAnsi="FrankRuehl" w:hint="cs"/>
          <w:color w:val="000000"/>
          <w:rtl/>
        </w:rPr>
        <w:t>ל</w:t>
      </w:r>
      <w:r w:rsidRPr="003E4F42">
        <w:rPr>
          <w:rFonts w:ascii="FrankRuehl" w:hAnsi="FrankRuehl"/>
          <w:color w:val="000000"/>
          <w:rtl/>
        </w:rPr>
        <w:t xml:space="preserve"> כל האחרים הוא האינטרס שבבטחון וביציבות המשפטיי</w:t>
      </w:r>
      <w:r w:rsidRPr="003E4F42">
        <w:rPr>
          <w:rFonts w:hint="cs"/>
          <w:rtl/>
        </w:rPr>
        <w:t xml:space="preserve">ם" (בג"ץ 122/73 </w:t>
      </w:r>
      <w:r w:rsidRPr="003E4F42">
        <w:rPr>
          <w:rFonts w:ascii="Century" w:hAnsi="Century" w:cs="Miriam" w:hint="cs"/>
          <w:b/>
          <w:spacing w:val="0"/>
          <w:szCs w:val="24"/>
          <w:rtl/>
        </w:rPr>
        <w:t>עבאדי נ' שר הפנים</w:t>
      </w:r>
      <w:r w:rsidRPr="003E4F42">
        <w:rPr>
          <w:rFonts w:ascii="Century" w:hAnsi="Century" w:hint="cs"/>
          <w:rtl/>
        </w:rPr>
        <w:t>, פ"ד כח(2) 253</w:t>
      </w:r>
      <w:r w:rsidR="00E848FF" w:rsidRPr="003E4F42">
        <w:rPr>
          <w:rFonts w:hint="cs"/>
          <w:rtl/>
        </w:rPr>
        <w:t>, 280 (1974)).</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hint="cs"/>
          <w:rtl/>
        </w:rPr>
        <w:t>עוד נקבע בהקשר זה כי:</w:t>
      </w:r>
    </w:p>
    <w:p w:rsidR="001E6B43" w:rsidRPr="003E4F42" w:rsidRDefault="001E6B43" w:rsidP="001E6B43">
      <w:pPr>
        <w:pStyle w:val="Ruller41"/>
        <w:rPr>
          <w:rtl/>
        </w:rPr>
      </w:pPr>
      <w:r w:rsidRPr="003E4F42">
        <w:rPr>
          <w:rFonts w:hint="cs"/>
          <w:rtl/>
        </w:rPr>
        <w:t xml:space="preserve"> </w:t>
      </w:r>
    </w:p>
    <w:p w:rsidR="001E6B43" w:rsidRPr="003E4F42" w:rsidRDefault="001E6B43" w:rsidP="001E6B43">
      <w:pPr>
        <w:pStyle w:val="Ruller5"/>
        <w:rPr>
          <w:rtl/>
        </w:rPr>
      </w:pPr>
      <w:r w:rsidRPr="003E4F42">
        <w:rPr>
          <w:rFonts w:hint="cs"/>
          <w:rtl/>
        </w:rPr>
        <w:t xml:space="preserve">"נקודת המוצא העקרונית היא, כי חקיקה רטרוספקטיבית אינה ראויה. החזקה היא נגדה. ה'נטל' מוטל על המבקש לסתור אותה. אין זה מספיק </w:t>
      </w:r>
      <w:r w:rsidRPr="003E4F42">
        <w:rPr>
          <w:rtl/>
        </w:rPr>
        <w:t>–</w:t>
      </w:r>
      <w:r w:rsidRPr="003E4F42">
        <w:rPr>
          <w:rFonts w:hint="cs"/>
          <w:rtl/>
        </w:rPr>
        <w:t xml:space="preserve"> לשם סתירה של החזקה </w:t>
      </w:r>
      <w:r w:rsidRPr="003E4F42">
        <w:rPr>
          <w:rtl/>
        </w:rPr>
        <w:t>–</w:t>
      </w:r>
      <w:r w:rsidRPr="003E4F42">
        <w:rPr>
          <w:rFonts w:hint="cs"/>
          <w:rtl/>
        </w:rPr>
        <w:t xml:space="preserve"> להראות כי הסדרו של החוק החדש טוב מההסדר הישן, שאם כן, כל חוק </w:t>
      </w:r>
      <w:r w:rsidRPr="003E4F42">
        <w:rPr>
          <w:rtl/>
        </w:rPr>
        <w:t>–</w:t>
      </w:r>
      <w:r w:rsidRPr="003E4F42">
        <w:rPr>
          <w:rFonts w:hint="cs"/>
          <w:rtl/>
        </w:rPr>
        <w:t xml:space="preserve"> שחזקה עליו שהוא טוב מקודמו </w:t>
      </w:r>
      <w:r w:rsidRPr="003E4F42">
        <w:rPr>
          <w:rtl/>
        </w:rPr>
        <w:t>–</w:t>
      </w:r>
      <w:r w:rsidRPr="003E4F42">
        <w:rPr>
          <w:rFonts w:hint="cs"/>
          <w:rtl/>
        </w:rPr>
        <w:t xml:space="preserve"> היה מוחל רטרוספקטיבית. [...] יש להראות, כי קיים אינטרס ציבורי ליתן לחוק החדש תחולה רטרוספקטיבית" (עניין </w:t>
      </w:r>
      <w:r w:rsidRPr="003E4F42">
        <w:rPr>
          <w:rFonts w:ascii="Century" w:hAnsi="Century" w:cs="Miriam" w:hint="cs"/>
          <w:b/>
          <w:spacing w:val="0"/>
          <w:szCs w:val="24"/>
          <w:rtl/>
        </w:rPr>
        <w:t>ארביב</w:t>
      </w:r>
      <w:r w:rsidRPr="003E4F42">
        <w:rPr>
          <w:rFonts w:ascii="Century" w:hAnsi="Century" w:hint="cs"/>
          <w:rtl/>
        </w:rPr>
        <w:t>, בעמ' 785</w:t>
      </w:r>
      <w:r w:rsidRPr="003E4F42">
        <w:rPr>
          <w:rFonts w:hint="cs"/>
          <w:rtl/>
        </w:rPr>
        <w:t xml:space="preserve">; כן ראו בג"ץ 2905/20 </w:t>
      </w:r>
      <w:r w:rsidRPr="003E4F42">
        <w:rPr>
          <w:rFonts w:ascii="Century" w:hAnsi="Century" w:cs="Miriam" w:hint="cs"/>
          <w:b/>
          <w:spacing w:val="0"/>
          <w:szCs w:val="24"/>
          <w:rtl/>
        </w:rPr>
        <w:t xml:space="preserve">התנועה למען </w:t>
      </w:r>
      <w:r w:rsidRPr="003E4F42">
        <w:rPr>
          <w:rFonts w:ascii="Century" w:hAnsi="Century" w:cs="Miriam" w:hint="cs"/>
          <w:b/>
          <w:spacing w:val="0"/>
          <w:szCs w:val="24"/>
          <w:rtl/>
        </w:rPr>
        <w:lastRenderedPageBreak/>
        <w:t>איכות השלטון בישראל נ' הכנסת</w:t>
      </w:r>
      <w:r w:rsidRPr="003E4F42">
        <w:rPr>
          <w:rFonts w:ascii="Century" w:hAnsi="Century" w:hint="cs"/>
          <w:rtl/>
        </w:rPr>
        <w:t xml:space="preserve">, פסקה 13 לפסק הדין של הנשיאה </w:t>
      </w:r>
      <w:r w:rsidRPr="003E4F42">
        <w:rPr>
          <w:rFonts w:ascii="Century" w:hAnsi="Century" w:cs="Miriam" w:hint="cs"/>
          <w:b/>
          <w:spacing w:val="0"/>
          <w:szCs w:val="24"/>
          <w:rtl/>
        </w:rPr>
        <w:t>א' חיות</w:t>
      </w:r>
      <w:r w:rsidRPr="003E4F42">
        <w:rPr>
          <w:rFonts w:ascii="Century" w:hAnsi="Century" w:hint="cs"/>
          <w:rtl/>
        </w:rPr>
        <w:t xml:space="preserve"> (12.7.2021)</w:t>
      </w:r>
      <w:r w:rsidRPr="003E4F42">
        <w:rPr>
          <w:rFonts w:hint="cs"/>
          <w:rtl/>
        </w:rPr>
        <w:t xml:space="preserve"> (להלן: עניין </w:t>
      </w:r>
      <w:r w:rsidRPr="003E4F42">
        <w:rPr>
          <w:rFonts w:ascii="Century" w:hAnsi="Century" w:cs="Miriam" w:hint="cs"/>
          <w:b/>
          <w:spacing w:val="0"/>
          <w:szCs w:val="24"/>
          <w:rtl/>
        </w:rPr>
        <w:t>ממשלת החילופים</w:t>
      </w:r>
      <w:r w:rsidRPr="003E4F42">
        <w:rPr>
          <w:rFonts w:hint="cs"/>
          <w:rtl/>
        </w:rPr>
        <w:t>)).</w:t>
      </w:r>
    </w:p>
    <w:p w:rsidR="001E6B43" w:rsidRPr="003E4F42" w:rsidRDefault="001E6B43" w:rsidP="001E6B43">
      <w:pPr>
        <w:pStyle w:val="Ruller41"/>
        <w:rPr>
          <w:rtl/>
        </w:rPr>
      </w:pPr>
    </w:p>
    <w:p w:rsidR="001E6B43" w:rsidRPr="003E4F42" w:rsidRDefault="001E6B43" w:rsidP="001E6B43">
      <w:pPr>
        <w:pStyle w:val="Ruller4"/>
        <w:rPr>
          <w:rtl/>
        </w:rPr>
      </w:pPr>
      <w:r w:rsidRPr="003E4F42">
        <w:rPr>
          <w:rtl/>
        </w:rPr>
        <w:tab/>
      </w:r>
      <w:r w:rsidRPr="003E4F42">
        <w:rPr>
          <w:rFonts w:hint="cs"/>
          <w:rtl/>
        </w:rPr>
        <w:t xml:space="preserve"> הצדדים שלפנינו לא נחלקו על עצם קיומה של החזקה נגד תחולה רטרוספקטיבית, אלא בשאלה אם החלת התיקון בבחירות הקרובות היא בבחינת תחולה רטרוספקטיבית של הוראות התיקון. כך, העותרים, כמו גם משיבי הממשלה, הביעו עמדה ברורה שהחלת התיקון על הבחירות הקרובות היא רטרוספקטיבית, וזאת בפרט מאחר שיש בכך כדי לשנות את כללי הבחירות תוך כדי תקופת הבחירות. מן העבר השני נטען כי החלתו של תיקון מס' 53 על הבחירות הקרובות היא בבחינת החלה פרוספקטיבית, מאחר שרק לאחר כניסת התיקון לתוקפו תינתן בידי חברי הוועדות הממונות האפשרות להתפטר מתפקידם על מנת לרוץ בבחירות הקרובות (ביום 2.8.2023; סעיף 151 לתצהיר התשובה מטעמו של בועז יוסף). הכנסת מצדה ציינה כי הטענה שהחוק הוא רטרוספקטיבי "</w:t>
      </w:r>
      <w:r w:rsidRPr="003E4F42">
        <w:rPr>
          <w:rFonts w:hint="eastAsia"/>
          <w:rtl/>
        </w:rPr>
        <w:t>אינה</w:t>
      </w:r>
      <w:r w:rsidRPr="003E4F42">
        <w:rPr>
          <w:rtl/>
        </w:rPr>
        <w:t xml:space="preserve"> </w:t>
      </w:r>
      <w:r w:rsidRPr="003E4F42">
        <w:rPr>
          <w:rFonts w:hint="eastAsia"/>
          <w:rtl/>
        </w:rPr>
        <w:t>נכונה</w:t>
      </w:r>
      <w:r w:rsidRPr="003E4F42">
        <w:rPr>
          <w:rtl/>
        </w:rPr>
        <w:t xml:space="preserve">, </w:t>
      </w:r>
      <w:r w:rsidRPr="003E4F42">
        <w:rPr>
          <w:rFonts w:hint="eastAsia"/>
          <w:rtl/>
        </w:rPr>
        <w:t>שכן</w:t>
      </w:r>
      <w:r w:rsidRPr="003E4F42">
        <w:rPr>
          <w:rtl/>
        </w:rPr>
        <w:t xml:space="preserve"> </w:t>
      </w:r>
      <w:r w:rsidRPr="003E4F42">
        <w:rPr>
          <w:rFonts w:hint="eastAsia"/>
          <w:rtl/>
        </w:rPr>
        <w:t>החוק</w:t>
      </w:r>
      <w:r w:rsidRPr="003E4F42">
        <w:rPr>
          <w:rtl/>
        </w:rPr>
        <w:t xml:space="preserve"> </w:t>
      </w:r>
      <w:r w:rsidRPr="003E4F42">
        <w:rPr>
          <w:rFonts w:hint="eastAsia"/>
          <w:rtl/>
        </w:rPr>
        <w:t>המתקן</w:t>
      </w:r>
      <w:r w:rsidRPr="003E4F42">
        <w:rPr>
          <w:rtl/>
        </w:rPr>
        <w:t xml:space="preserve"> </w:t>
      </w:r>
      <w:r w:rsidRPr="003E4F42">
        <w:rPr>
          <w:rFonts w:hint="eastAsia"/>
          <w:rtl/>
        </w:rPr>
        <w:t>הוא</w:t>
      </w:r>
      <w:r w:rsidRPr="003E4F42">
        <w:rPr>
          <w:rtl/>
        </w:rPr>
        <w:t xml:space="preserve"> </w:t>
      </w:r>
      <w:r w:rsidRPr="003E4F42">
        <w:rPr>
          <w:rFonts w:hint="eastAsia"/>
          <w:rtl/>
        </w:rPr>
        <w:t>בעל</w:t>
      </w:r>
      <w:r w:rsidRPr="003E4F42">
        <w:rPr>
          <w:rtl/>
        </w:rPr>
        <w:t xml:space="preserve"> </w:t>
      </w:r>
      <w:r w:rsidRPr="003E4F42">
        <w:rPr>
          <w:rFonts w:hint="eastAsia"/>
          <w:rtl/>
        </w:rPr>
        <w:t>תחולה</w:t>
      </w:r>
      <w:r w:rsidRPr="003E4F42">
        <w:rPr>
          <w:rtl/>
        </w:rPr>
        <w:t xml:space="preserve"> </w:t>
      </w:r>
      <w:r w:rsidRPr="003E4F42">
        <w:rPr>
          <w:rFonts w:hint="eastAsia"/>
          <w:rtl/>
        </w:rPr>
        <w:t>פרוספקטיבית</w:t>
      </w:r>
      <w:r w:rsidRPr="003E4F42">
        <w:rPr>
          <w:rtl/>
        </w:rPr>
        <w:t xml:space="preserve"> – </w:t>
      </w:r>
      <w:r w:rsidRPr="003E4F42">
        <w:rPr>
          <w:rFonts w:hint="eastAsia"/>
          <w:rtl/>
        </w:rPr>
        <w:t>הוא</w:t>
      </w:r>
      <w:r w:rsidRPr="003E4F42">
        <w:rPr>
          <w:rtl/>
        </w:rPr>
        <w:t xml:space="preserve"> </w:t>
      </w:r>
      <w:r w:rsidRPr="003E4F42">
        <w:rPr>
          <w:rFonts w:hint="eastAsia"/>
          <w:rtl/>
        </w:rPr>
        <w:t>אינו</w:t>
      </w:r>
      <w:r w:rsidRPr="003E4F42">
        <w:rPr>
          <w:rtl/>
        </w:rPr>
        <w:t xml:space="preserve"> </w:t>
      </w:r>
      <w:r w:rsidRPr="003E4F42">
        <w:rPr>
          <w:rFonts w:hint="eastAsia"/>
          <w:rtl/>
        </w:rPr>
        <w:t>משנה</w:t>
      </w:r>
      <w:r w:rsidRPr="003E4F42">
        <w:rPr>
          <w:rtl/>
        </w:rPr>
        <w:t xml:space="preserve"> </w:t>
      </w:r>
      <w:r w:rsidRPr="003E4F42">
        <w:rPr>
          <w:rFonts w:hint="eastAsia"/>
          <w:rtl/>
        </w:rPr>
        <w:t>את</w:t>
      </w:r>
      <w:r w:rsidRPr="003E4F42">
        <w:rPr>
          <w:rtl/>
        </w:rPr>
        <w:t xml:space="preserve"> </w:t>
      </w:r>
      <w:r w:rsidRPr="003E4F42">
        <w:rPr>
          <w:rFonts w:hint="eastAsia"/>
          <w:rtl/>
        </w:rPr>
        <w:t>משמעותה</w:t>
      </w:r>
      <w:r w:rsidRPr="003E4F42">
        <w:rPr>
          <w:rFonts w:hint="cs"/>
          <w:rtl/>
        </w:rPr>
        <w:t xml:space="preserve"> </w:t>
      </w:r>
      <w:r w:rsidRPr="003E4F42">
        <w:rPr>
          <w:rFonts w:hint="eastAsia"/>
          <w:rtl/>
        </w:rPr>
        <w:t>המשפטית</w:t>
      </w:r>
      <w:r w:rsidRPr="003E4F42">
        <w:rPr>
          <w:rtl/>
        </w:rPr>
        <w:t xml:space="preserve"> </w:t>
      </w:r>
      <w:r w:rsidRPr="003E4F42">
        <w:rPr>
          <w:rFonts w:hint="eastAsia"/>
          <w:rtl/>
        </w:rPr>
        <w:t>של</w:t>
      </w:r>
      <w:r w:rsidRPr="003E4F42">
        <w:rPr>
          <w:rtl/>
        </w:rPr>
        <w:t xml:space="preserve"> </w:t>
      </w:r>
      <w:r w:rsidRPr="003E4F42">
        <w:rPr>
          <w:rFonts w:hint="eastAsia"/>
          <w:rtl/>
        </w:rPr>
        <w:t>פעולה</w:t>
      </w:r>
      <w:r w:rsidRPr="003E4F42">
        <w:rPr>
          <w:rtl/>
        </w:rPr>
        <w:t xml:space="preserve"> </w:t>
      </w:r>
      <w:r w:rsidRPr="003E4F42">
        <w:rPr>
          <w:rFonts w:hint="eastAsia"/>
          <w:rtl/>
        </w:rPr>
        <w:t>כלשהי</w:t>
      </w:r>
      <w:r w:rsidRPr="003E4F42">
        <w:rPr>
          <w:rtl/>
        </w:rPr>
        <w:t xml:space="preserve"> </w:t>
      </w:r>
      <w:r w:rsidRPr="003E4F42">
        <w:rPr>
          <w:rFonts w:hint="eastAsia"/>
          <w:rtl/>
        </w:rPr>
        <w:t>שנעשתה</w:t>
      </w:r>
      <w:r w:rsidRPr="003E4F42">
        <w:rPr>
          <w:rtl/>
        </w:rPr>
        <w:t xml:space="preserve"> </w:t>
      </w:r>
      <w:r w:rsidRPr="003E4F42">
        <w:rPr>
          <w:rFonts w:hint="eastAsia"/>
          <w:rtl/>
        </w:rPr>
        <w:t>בעבר</w:t>
      </w:r>
      <w:r w:rsidRPr="003E4F42">
        <w:rPr>
          <w:rtl/>
        </w:rPr>
        <w:t xml:space="preserve">, </w:t>
      </w:r>
      <w:r w:rsidRPr="003E4F42">
        <w:rPr>
          <w:rFonts w:hint="eastAsia"/>
          <w:rtl/>
        </w:rPr>
        <w:t>אלא</w:t>
      </w:r>
      <w:r w:rsidRPr="003E4F42">
        <w:rPr>
          <w:rtl/>
        </w:rPr>
        <w:t xml:space="preserve"> </w:t>
      </w:r>
      <w:r w:rsidRPr="003E4F42">
        <w:rPr>
          <w:rFonts w:hint="eastAsia"/>
          <w:rtl/>
        </w:rPr>
        <w:t>מאפשר</w:t>
      </w:r>
      <w:r w:rsidRPr="003E4F42">
        <w:rPr>
          <w:rtl/>
        </w:rPr>
        <w:t xml:space="preserve"> </w:t>
      </w:r>
      <w:r w:rsidRPr="003E4F42">
        <w:rPr>
          <w:rFonts w:hint="eastAsia"/>
          <w:rtl/>
        </w:rPr>
        <w:t>מכאן</w:t>
      </w:r>
      <w:r w:rsidRPr="003E4F42">
        <w:rPr>
          <w:rtl/>
        </w:rPr>
        <w:t xml:space="preserve"> </w:t>
      </w:r>
      <w:r w:rsidRPr="003E4F42">
        <w:rPr>
          <w:rFonts w:hint="eastAsia"/>
          <w:rtl/>
        </w:rPr>
        <w:t>ולהבא</w:t>
      </w:r>
      <w:r w:rsidRPr="003E4F42">
        <w:rPr>
          <w:rtl/>
        </w:rPr>
        <w:t xml:space="preserve"> </w:t>
      </w:r>
      <w:r w:rsidRPr="003E4F42">
        <w:rPr>
          <w:rFonts w:hint="eastAsia"/>
          <w:rtl/>
        </w:rPr>
        <w:t>לחברי</w:t>
      </w:r>
      <w:r w:rsidRPr="003E4F42">
        <w:rPr>
          <w:rtl/>
        </w:rPr>
        <w:t xml:space="preserve"> </w:t>
      </w:r>
      <w:r w:rsidRPr="003E4F42">
        <w:rPr>
          <w:rFonts w:hint="eastAsia"/>
          <w:rtl/>
        </w:rPr>
        <w:t>ועדות</w:t>
      </w:r>
      <w:r w:rsidRPr="003E4F42">
        <w:rPr>
          <w:rtl/>
        </w:rPr>
        <w:t xml:space="preserve"> </w:t>
      </w:r>
      <w:r w:rsidRPr="003E4F42">
        <w:rPr>
          <w:rFonts w:hint="eastAsia"/>
          <w:rtl/>
        </w:rPr>
        <w:t>ממונות</w:t>
      </w:r>
      <w:r w:rsidRPr="003E4F42">
        <w:rPr>
          <w:rtl/>
        </w:rPr>
        <w:t xml:space="preserve"> </w:t>
      </w:r>
      <w:r w:rsidRPr="003E4F42">
        <w:rPr>
          <w:rFonts w:hint="eastAsia"/>
          <w:rtl/>
        </w:rPr>
        <w:t>להתמודד</w:t>
      </w:r>
      <w:r w:rsidRPr="003E4F42">
        <w:rPr>
          <w:rtl/>
        </w:rPr>
        <w:t xml:space="preserve"> </w:t>
      </w:r>
      <w:r w:rsidRPr="003E4F42">
        <w:rPr>
          <w:rFonts w:hint="eastAsia"/>
          <w:rtl/>
        </w:rPr>
        <w:t>בבחירות</w:t>
      </w:r>
      <w:r w:rsidRPr="003E4F42">
        <w:rPr>
          <w:rFonts w:hint="cs"/>
          <w:rtl/>
        </w:rPr>
        <w:t xml:space="preserve"> </w:t>
      </w:r>
      <w:r w:rsidRPr="003E4F42">
        <w:rPr>
          <w:rFonts w:hint="eastAsia"/>
          <w:rtl/>
        </w:rPr>
        <w:t>לרשויות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לאחר</w:t>
      </w:r>
      <w:r w:rsidRPr="003E4F42">
        <w:rPr>
          <w:rtl/>
        </w:rPr>
        <w:t xml:space="preserve"> </w:t>
      </w:r>
      <w:r w:rsidRPr="003E4F42">
        <w:rPr>
          <w:rFonts w:hint="eastAsia"/>
          <w:rtl/>
        </w:rPr>
        <w:t>תקופת</w:t>
      </w:r>
      <w:r w:rsidRPr="003E4F42">
        <w:rPr>
          <w:rtl/>
        </w:rPr>
        <w:t xml:space="preserve"> </w:t>
      </w:r>
      <w:r w:rsidRPr="003E4F42">
        <w:rPr>
          <w:rFonts w:hint="eastAsia"/>
          <w:rtl/>
        </w:rPr>
        <w:t>צינון</w:t>
      </w:r>
      <w:r w:rsidRPr="003E4F42">
        <w:rPr>
          <w:rFonts w:hint="cs"/>
          <w:rtl/>
        </w:rPr>
        <w:t xml:space="preserve">" (התייחסות הכנסת לסוגיה זו הובאה בהערת שוליים 10 לכתב התשובה). </w:t>
      </w:r>
    </w:p>
    <w:p w:rsidR="001E6B43" w:rsidRPr="003E4F42" w:rsidRDefault="001E6B43" w:rsidP="001E6B43">
      <w:pPr>
        <w:pStyle w:val="Ruller41"/>
      </w:pPr>
    </w:p>
    <w:p w:rsidR="001E6B43" w:rsidRPr="003E4F42" w:rsidRDefault="001E6B43" w:rsidP="00E848FF">
      <w:pPr>
        <w:pStyle w:val="Ruller4"/>
      </w:pPr>
      <w:r w:rsidRPr="003E4F42">
        <w:rPr>
          <w:rFonts w:hint="cs"/>
          <w:rtl/>
        </w:rPr>
        <w:t xml:space="preserve">כפי שנפסק לא אחת, "מושג הרטרוספקטיביות הוא סבוך ביותר, ותוכנו עשוי להשתנות על-פי מהותה של הבעיה שהוא מעורר" (עניין </w:t>
      </w:r>
      <w:r w:rsidRPr="003E4F42">
        <w:rPr>
          <w:rFonts w:ascii="Century" w:hAnsi="Century" w:cs="Miriam" w:hint="cs"/>
          <w:b/>
          <w:spacing w:val="0"/>
          <w:sz w:val="22"/>
          <w:szCs w:val="24"/>
          <w:rtl/>
        </w:rPr>
        <w:t>ארביב</w:t>
      </w:r>
      <w:r w:rsidRPr="003E4F42">
        <w:rPr>
          <w:rFonts w:ascii="Century" w:hAnsi="Century" w:hint="cs"/>
          <w:sz w:val="22"/>
          <w:rtl/>
        </w:rPr>
        <w:t>, בעמ' 777</w:t>
      </w:r>
      <w:r w:rsidRPr="003E4F42">
        <w:rPr>
          <w:rFonts w:hint="cs"/>
          <w:rtl/>
        </w:rPr>
        <w:t xml:space="preserve">; ראו גם בעניין </w:t>
      </w:r>
      <w:r w:rsidRPr="003E4F42">
        <w:rPr>
          <w:rFonts w:ascii="Century" w:hAnsi="Century" w:cs="Miriam" w:hint="cs"/>
          <w:b/>
          <w:spacing w:val="0"/>
          <w:sz w:val="22"/>
          <w:szCs w:val="24"/>
          <w:rtl/>
        </w:rPr>
        <w:t>אורט</w:t>
      </w:r>
      <w:r w:rsidRPr="003E4F42">
        <w:rPr>
          <w:rFonts w:ascii="Century" w:hAnsi="Century" w:hint="cs"/>
          <w:sz w:val="22"/>
          <w:rtl/>
        </w:rPr>
        <w:t xml:space="preserve">, פסקה </w:t>
      </w:r>
      <w:r w:rsidRPr="003E4F42">
        <w:rPr>
          <w:rFonts w:hint="cs"/>
          <w:rtl/>
        </w:rPr>
        <w:t>33). חרף המורכבות האמורה, בעיני, קביעה שתיקון מס' 53 חל גם על הבחירות הקרובות לרשויות המקומיות היא בבחינת החלתו למפרע. תחולה זו למפרע באה לידי ביטוי בשתיים: ראשית, ממד רטרוספקטיבי נעוץ בשינוי מארג הזכויות והחובות שניתן בידי חברי הוועדות הממונות; ושנית, ואף חשוב מכך, תחולה זו משנה את כללי הבחירות תוך כדי תקופת הבחירות. אפרט.</w:t>
      </w:r>
    </w:p>
    <w:p w:rsidR="001E6B43" w:rsidRPr="003E4F42" w:rsidRDefault="001E6B43" w:rsidP="001E6B43">
      <w:pPr>
        <w:pStyle w:val="Ruller4"/>
        <w:numPr>
          <w:ilvl w:val="0"/>
          <w:numId w:val="0"/>
        </w:numPr>
      </w:pPr>
    </w:p>
    <w:p w:rsidR="001E6B43" w:rsidRPr="003E4F42" w:rsidRDefault="001E6B43" w:rsidP="00E848FF">
      <w:pPr>
        <w:pStyle w:val="Ruller4"/>
        <w:rPr>
          <w:rtl/>
        </w:rPr>
      </w:pPr>
      <w:r w:rsidRPr="003E4F42">
        <w:rPr>
          <w:rFonts w:hint="cs"/>
          <w:rtl/>
        </w:rPr>
        <w:t xml:space="preserve">בעת שמונו הוועדות הממונות ברשויות המקומיות שבהן עתידות להיערך הבחירות, הוטלה (מכוח הדין הקודם) על חבריהן (ויושבי ראשן) הגבלה ברורה: לא תוכלו להתמודד ברשות המקומית שבה מוניתם בבחירות שיערכו לראשונה לאחר מינויכם (כך הורה למעשה החוק לאחר תיקון מס' 39). לו רצה פלוני להתמודד בבחירות הקרובות, הוא ידע כי אין הוא רשאי לקחת על עצמו תפקיד של חבר (או יושב ראש) ועדה ממונה ברשות המקומית שבה ביקש להתמודד. גם חברי הוועדות הממונות הקיימות ידעו היטב בזמן מינוים כי הדין לא יאפשר להם התמודדות. הוועדות הממונות </w:t>
      </w:r>
      <w:r w:rsidRPr="003E4F42">
        <w:rPr>
          <w:rFonts w:hint="cs"/>
          <w:rtl/>
        </w:rPr>
        <w:lastRenderedPageBreak/>
        <w:t xml:space="preserve">שמונו לפני תיקון מס' 53 נשענו, כפי שכבר ציינתי לעיל, על רציונל מקצועי א-פוליטי מובהק. בהמשך ישיר לכך, גם גורמים פוליטיים מקומיים יכולים היו לפעול מול הוועדה הממונה כשהם יודעים שחבריה אינם מהווים "איום פוליטי", ולכן שיתוף פעולה עמה לא יפגע בהם במישור הפוליטי-מוניציפלי. ביטוי לכך ניתן לראות בחילופי הדברים בין חבר הכנסת מתן כהנא לבין עו"ד מאיר אלמקייס, מתמודד לראשות עיריית טבריה בהליך חקיקת התיקון: </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w:t>
      </w:r>
      <w:r w:rsidRPr="003E4F42">
        <w:rPr>
          <w:rtl/>
        </w:rPr>
        <w:t xml:space="preserve"> </w:t>
      </w:r>
      <w:r w:rsidRPr="003E4F42">
        <w:rPr>
          <w:rFonts w:hint="cs"/>
          <w:rtl/>
        </w:rPr>
        <w:t>מתן כהנא (המחנה הממלכתי):</w:t>
      </w:r>
    </w:p>
    <w:p w:rsidR="001E6B43" w:rsidRPr="003E4F42" w:rsidRDefault="001E6B43" w:rsidP="001E6B43">
      <w:pPr>
        <w:pStyle w:val="Ruller5"/>
        <w:rPr>
          <w:rtl/>
        </w:rPr>
      </w:pPr>
      <w:r w:rsidRPr="003E4F42">
        <w:rPr>
          <w:rFonts w:hint="eastAsia"/>
          <w:rtl/>
        </w:rPr>
        <w:t>אין</w:t>
      </w:r>
      <w:r w:rsidRPr="003E4F42">
        <w:rPr>
          <w:rtl/>
        </w:rPr>
        <w:t xml:space="preserve"> </w:t>
      </w:r>
      <w:r w:rsidRPr="003E4F42">
        <w:rPr>
          <w:rFonts w:hint="eastAsia"/>
          <w:rtl/>
        </w:rPr>
        <w:t>בעיה</w:t>
      </w:r>
      <w:r w:rsidRPr="003E4F42">
        <w:rPr>
          <w:rtl/>
        </w:rPr>
        <w:t xml:space="preserve">, </w:t>
      </w:r>
      <w:r w:rsidRPr="003E4F42">
        <w:rPr>
          <w:rFonts w:hint="eastAsia"/>
          <w:rtl/>
        </w:rPr>
        <w:t>כמו</w:t>
      </w:r>
      <w:r w:rsidRPr="003E4F42">
        <w:rPr>
          <w:rtl/>
        </w:rPr>
        <w:t xml:space="preserve"> </w:t>
      </w:r>
      <w:r w:rsidRPr="003E4F42">
        <w:rPr>
          <w:rFonts w:hint="eastAsia"/>
          <w:rtl/>
        </w:rPr>
        <w:t>שהוא</w:t>
      </w:r>
      <w:r w:rsidRPr="003E4F42">
        <w:rPr>
          <w:rtl/>
        </w:rPr>
        <w:t xml:space="preserve"> </w:t>
      </w:r>
      <w:r w:rsidRPr="003E4F42">
        <w:rPr>
          <w:rFonts w:hint="eastAsia"/>
          <w:rtl/>
        </w:rPr>
        <w:t>אמר</w:t>
      </w:r>
      <w:r w:rsidRPr="003E4F42">
        <w:rPr>
          <w:rtl/>
        </w:rPr>
        <w:t xml:space="preserve">, </w:t>
      </w:r>
      <w:r w:rsidRPr="003E4F42">
        <w:rPr>
          <w:rFonts w:hint="eastAsia"/>
          <w:rtl/>
        </w:rPr>
        <w:t>להגיד</w:t>
      </w:r>
      <w:r w:rsidRPr="003E4F42">
        <w:rPr>
          <w:rtl/>
        </w:rPr>
        <w:t xml:space="preserve"> </w:t>
      </w:r>
      <w:r w:rsidRPr="003E4F42">
        <w:rPr>
          <w:rFonts w:hint="eastAsia"/>
          <w:rtl/>
        </w:rPr>
        <w:t>את</w:t>
      </w:r>
      <w:r w:rsidRPr="003E4F42">
        <w:rPr>
          <w:rtl/>
        </w:rPr>
        <w:t xml:space="preserve"> </w:t>
      </w:r>
      <w:r w:rsidRPr="003E4F42">
        <w:rPr>
          <w:rFonts w:hint="eastAsia"/>
          <w:rtl/>
        </w:rPr>
        <w:t>זה</w:t>
      </w:r>
      <w:r w:rsidRPr="003E4F42">
        <w:rPr>
          <w:rtl/>
        </w:rPr>
        <w:t xml:space="preserve"> </w:t>
      </w:r>
      <w:r w:rsidRPr="003E4F42">
        <w:rPr>
          <w:rFonts w:hint="eastAsia"/>
          <w:rtl/>
        </w:rPr>
        <w:t>לפעם</w:t>
      </w:r>
      <w:r w:rsidRPr="003E4F42">
        <w:rPr>
          <w:rtl/>
        </w:rPr>
        <w:t xml:space="preserve"> </w:t>
      </w:r>
      <w:r w:rsidRPr="003E4F42">
        <w:rPr>
          <w:rFonts w:hint="eastAsia"/>
          <w:rtl/>
        </w:rPr>
        <w:t>הבאה</w:t>
      </w:r>
      <w:r w:rsidRPr="003E4F42">
        <w:rPr>
          <w:rtl/>
        </w:rPr>
        <w:t xml:space="preserve">, </w:t>
      </w:r>
      <w:r w:rsidRPr="003E4F42">
        <w:rPr>
          <w:rFonts w:hint="eastAsia"/>
          <w:rtl/>
        </w:rPr>
        <w:t>ושמעכשיו</w:t>
      </w:r>
      <w:r w:rsidRPr="003E4F42">
        <w:rPr>
          <w:rtl/>
        </w:rPr>
        <w:t xml:space="preserve"> – </w:t>
      </w:r>
      <w:r w:rsidRPr="003E4F42">
        <w:rPr>
          <w:rFonts w:hint="eastAsia"/>
          <w:rtl/>
        </w:rPr>
        <w:t>כל</w:t>
      </w:r>
      <w:r w:rsidRPr="003E4F42">
        <w:rPr>
          <w:rtl/>
        </w:rPr>
        <w:t xml:space="preserve"> </w:t>
      </w:r>
      <w:r w:rsidRPr="003E4F42">
        <w:rPr>
          <w:rFonts w:hint="eastAsia"/>
          <w:rtl/>
        </w:rPr>
        <w:t>מי</w:t>
      </w:r>
      <w:r w:rsidRPr="003E4F42">
        <w:rPr>
          <w:rtl/>
        </w:rPr>
        <w:t xml:space="preserve"> </w:t>
      </w:r>
      <w:r w:rsidRPr="003E4F42">
        <w:rPr>
          <w:rFonts w:hint="eastAsia"/>
          <w:rtl/>
        </w:rPr>
        <w:t>שרוצה</w:t>
      </w:r>
      <w:r w:rsidRPr="003E4F42">
        <w:rPr>
          <w:rtl/>
        </w:rPr>
        <w:t xml:space="preserve"> </w:t>
      </w:r>
      <w:r w:rsidRPr="003E4F42">
        <w:rPr>
          <w:rFonts w:hint="eastAsia"/>
          <w:rtl/>
        </w:rPr>
        <w:t>להיות</w:t>
      </w:r>
      <w:r w:rsidRPr="003E4F42">
        <w:rPr>
          <w:rtl/>
        </w:rPr>
        <w:t xml:space="preserve"> </w:t>
      </w:r>
      <w:r w:rsidRPr="003E4F42">
        <w:rPr>
          <w:rFonts w:hint="eastAsia"/>
          <w:rtl/>
        </w:rPr>
        <w:t>עיר</w:t>
      </w:r>
      <w:r w:rsidRPr="003E4F42">
        <w:rPr>
          <w:rtl/>
        </w:rPr>
        <w:t xml:space="preserve"> </w:t>
      </w:r>
      <w:r w:rsidRPr="003E4F42">
        <w:rPr>
          <w:rFonts w:hint="eastAsia"/>
          <w:rtl/>
        </w:rPr>
        <w:t>יידע</w:t>
      </w:r>
      <w:r w:rsidRPr="003E4F42">
        <w:rPr>
          <w:rtl/>
        </w:rPr>
        <w:t xml:space="preserve"> </w:t>
      </w:r>
      <w:r w:rsidRPr="003E4F42">
        <w:rPr>
          <w:rFonts w:hint="eastAsia"/>
          <w:rtl/>
        </w:rPr>
        <w:t>שכאשר</w:t>
      </w:r>
      <w:r w:rsidRPr="003E4F42">
        <w:rPr>
          <w:rtl/>
        </w:rPr>
        <w:t xml:space="preserve"> </w:t>
      </w:r>
      <w:r w:rsidRPr="003E4F42">
        <w:rPr>
          <w:rFonts w:hint="eastAsia"/>
          <w:rtl/>
        </w:rPr>
        <w:t>יש</w:t>
      </w:r>
      <w:r w:rsidRPr="003E4F42">
        <w:rPr>
          <w:rtl/>
        </w:rPr>
        <w:t xml:space="preserve"> </w:t>
      </w:r>
      <w:r w:rsidRPr="003E4F42">
        <w:rPr>
          <w:rFonts w:hint="eastAsia"/>
          <w:rtl/>
        </w:rPr>
        <w:t>ראש</w:t>
      </w:r>
      <w:r w:rsidRPr="003E4F42">
        <w:rPr>
          <w:rtl/>
        </w:rPr>
        <w:t xml:space="preserve"> </w:t>
      </w:r>
      <w:r w:rsidRPr="003E4F42">
        <w:rPr>
          <w:rFonts w:hint="eastAsia"/>
          <w:rtl/>
        </w:rPr>
        <w:t>ועדה</w:t>
      </w:r>
      <w:r w:rsidRPr="003E4F42">
        <w:rPr>
          <w:rtl/>
        </w:rPr>
        <w:t xml:space="preserve"> </w:t>
      </w:r>
      <w:r w:rsidRPr="003E4F42">
        <w:rPr>
          <w:rFonts w:hint="eastAsia"/>
          <w:rtl/>
        </w:rPr>
        <w:t>קרואה</w:t>
      </w:r>
      <w:r w:rsidRPr="003E4F42">
        <w:rPr>
          <w:rtl/>
        </w:rPr>
        <w:t xml:space="preserve"> – </w:t>
      </w:r>
      <w:r w:rsidRPr="003E4F42">
        <w:rPr>
          <w:rFonts w:hint="eastAsia"/>
          <w:rtl/>
        </w:rPr>
        <w:t>הוא</w:t>
      </w:r>
      <w:r w:rsidRPr="003E4F42">
        <w:rPr>
          <w:rtl/>
        </w:rPr>
        <w:t xml:space="preserve"> </w:t>
      </w:r>
      <w:r w:rsidRPr="003E4F42">
        <w:rPr>
          <w:rFonts w:hint="eastAsia"/>
          <w:rtl/>
        </w:rPr>
        <w:t>מתמודד</w:t>
      </w:r>
      <w:r w:rsidRPr="003E4F42">
        <w:rPr>
          <w:rtl/>
        </w:rPr>
        <w:t xml:space="preserve"> </w:t>
      </w:r>
      <w:r w:rsidRPr="003E4F42">
        <w:rPr>
          <w:rFonts w:hint="eastAsia"/>
          <w:rtl/>
        </w:rPr>
        <w:t>פוטנציאלי</w:t>
      </w:r>
      <w:r w:rsidRPr="003E4F42">
        <w:rPr>
          <w:rtl/>
        </w:rPr>
        <w:t xml:space="preserve">. </w:t>
      </w:r>
      <w:r w:rsidRPr="003E4F42">
        <w:rPr>
          <w:rFonts w:hint="eastAsia"/>
          <w:rtl/>
        </w:rPr>
        <w:t>ההתנהגות</w:t>
      </w:r>
      <w:r w:rsidRPr="003E4F42">
        <w:rPr>
          <w:rtl/>
        </w:rPr>
        <w:t xml:space="preserve"> </w:t>
      </w:r>
      <w:r w:rsidRPr="003E4F42">
        <w:rPr>
          <w:rFonts w:hint="eastAsia"/>
          <w:rtl/>
        </w:rPr>
        <w:t>אליו</w:t>
      </w:r>
      <w:r w:rsidRPr="003E4F42">
        <w:rPr>
          <w:rtl/>
        </w:rPr>
        <w:t xml:space="preserve"> </w:t>
      </w:r>
      <w:r w:rsidRPr="003E4F42">
        <w:rPr>
          <w:rFonts w:hint="eastAsia"/>
          <w:rtl/>
        </w:rPr>
        <w:t>תהיה</w:t>
      </w:r>
      <w:r w:rsidRPr="003E4F42">
        <w:rPr>
          <w:rtl/>
        </w:rPr>
        <w:t xml:space="preserve"> </w:t>
      </w:r>
      <w:r w:rsidRPr="003E4F42">
        <w:rPr>
          <w:rFonts w:hint="eastAsia"/>
          <w:rtl/>
        </w:rPr>
        <w:t>אחרת</w:t>
      </w:r>
      <w:r w:rsidRPr="003E4F42">
        <w:rPr>
          <w:rtl/>
        </w:rPr>
        <w:t xml:space="preserve"> </w:t>
      </w:r>
      <w:r w:rsidRPr="003E4F42">
        <w:rPr>
          <w:rFonts w:hint="eastAsia"/>
          <w:rtl/>
        </w:rPr>
        <w:t>לגמרי</w:t>
      </w:r>
      <w:r w:rsidRPr="003E4F42">
        <w:rPr>
          <w:rtl/>
        </w:rPr>
        <w:t xml:space="preserve">. </w:t>
      </w:r>
      <w:r w:rsidRPr="003E4F42">
        <w:rPr>
          <w:rFonts w:hint="eastAsia"/>
          <w:rtl/>
        </w:rPr>
        <w:t>אגב</w:t>
      </w:r>
      <w:r w:rsidRPr="003E4F42">
        <w:rPr>
          <w:rtl/>
        </w:rPr>
        <w:t xml:space="preserve">, </w:t>
      </w:r>
      <w:r w:rsidRPr="003E4F42">
        <w:rPr>
          <w:rFonts w:hint="eastAsia"/>
          <w:rtl/>
        </w:rPr>
        <w:t>לא</w:t>
      </w:r>
      <w:r w:rsidRPr="003E4F42">
        <w:rPr>
          <w:rtl/>
        </w:rPr>
        <w:t xml:space="preserve"> </w:t>
      </w:r>
      <w:r w:rsidRPr="003E4F42">
        <w:rPr>
          <w:rFonts w:hint="eastAsia"/>
          <w:rtl/>
        </w:rPr>
        <w:t>בטוח</w:t>
      </w:r>
      <w:r w:rsidRPr="003E4F42">
        <w:rPr>
          <w:rtl/>
        </w:rPr>
        <w:t xml:space="preserve"> </w:t>
      </w:r>
      <w:r w:rsidRPr="003E4F42">
        <w:rPr>
          <w:rFonts w:hint="eastAsia"/>
          <w:rtl/>
        </w:rPr>
        <w:t>שזהו</w:t>
      </w:r>
      <w:r w:rsidRPr="003E4F42">
        <w:rPr>
          <w:rtl/>
        </w:rPr>
        <w:t xml:space="preserve"> </w:t>
      </w:r>
      <w:r w:rsidRPr="003E4F42">
        <w:rPr>
          <w:rFonts w:hint="eastAsia"/>
          <w:rtl/>
        </w:rPr>
        <w:t>אינטרס</w:t>
      </w:r>
      <w:r w:rsidRPr="003E4F42">
        <w:rPr>
          <w:rtl/>
        </w:rPr>
        <w:t xml:space="preserve"> </w:t>
      </w:r>
      <w:r w:rsidRPr="003E4F42">
        <w:rPr>
          <w:rFonts w:hint="eastAsia"/>
          <w:rtl/>
        </w:rPr>
        <w:t>הציבור</w:t>
      </w:r>
      <w:r w:rsidRPr="003E4F42">
        <w:rPr>
          <w:rtl/>
        </w:rPr>
        <w:t xml:space="preserve">, </w:t>
      </w:r>
      <w:r w:rsidRPr="003E4F42">
        <w:rPr>
          <w:rFonts w:hint="eastAsia"/>
          <w:rtl/>
        </w:rPr>
        <w:t>כי</w:t>
      </w:r>
      <w:r w:rsidRPr="003E4F42">
        <w:rPr>
          <w:rtl/>
        </w:rPr>
        <w:t xml:space="preserve"> </w:t>
      </w:r>
      <w:r w:rsidRPr="003E4F42">
        <w:rPr>
          <w:rFonts w:hint="eastAsia"/>
          <w:rtl/>
        </w:rPr>
        <w:t>אנחנו</w:t>
      </w:r>
      <w:r w:rsidRPr="003E4F42">
        <w:rPr>
          <w:rtl/>
        </w:rPr>
        <w:t xml:space="preserve"> </w:t>
      </w:r>
      <w:r w:rsidRPr="003E4F42">
        <w:rPr>
          <w:rFonts w:hint="eastAsia"/>
          <w:rtl/>
        </w:rPr>
        <w:t>רוצים</w:t>
      </w:r>
      <w:r w:rsidRPr="003E4F42">
        <w:rPr>
          <w:rtl/>
        </w:rPr>
        <w:t xml:space="preserve"> </w:t>
      </w:r>
      <w:r w:rsidRPr="003E4F42">
        <w:rPr>
          <w:rFonts w:hint="eastAsia"/>
          <w:rtl/>
        </w:rPr>
        <w:t>שראש</w:t>
      </w:r>
      <w:r w:rsidRPr="003E4F42">
        <w:rPr>
          <w:rtl/>
        </w:rPr>
        <w:t xml:space="preserve"> </w:t>
      </w:r>
      <w:r w:rsidRPr="003E4F42">
        <w:rPr>
          <w:rFonts w:hint="eastAsia"/>
          <w:rtl/>
        </w:rPr>
        <w:t>הוועדה</w:t>
      </w:r>
      <w:r w:rsidRPr="003E4F42">
        <w:rPr>
          <w:rtl/>
        </w:rPr>
        <w:t xml:space="preserve"> </w:t>
      </w:r>
      <w:r w:rsidRPr="003E4F42">
        <w:rPr>
          <w:rFonts w:hint="eastAsia"/>
          <w:rtl/>
        </w:rPr>
        <w:t>הקרואה</w:t>
      </w:r>
      <w:r w:rsidRPr="003E4F42">
        <w:rPr>
          <w:rtl/>
        </w:rPr>
        <w:t xml:space="preserve"> </w:t>
      </w:r>
      <w:r w:rsidRPr="003E4F42">
        <w:rPr>
          <w:rFonts w:hint="eastAsia"/>
          <w:rtl/>
        </w:rPr>
        <w:t>יצליח</w:t>
      </w:r>
      <w:r w:rsidRPr="003E4F42">
        <w:rPr>
          <w:rtl/>
        </w:rPr>
        <w:t xml:space="preserve"> - - -</w:t>
      </w:r>
    </w:p>
    <w:p w:rsidR="001E6B43" w:rsidRPr="003E4F42" w:rsidRDefault="001E6B43" w:rsidP="001E6B43">
      <w:pPr>
        <w:pStyle w:val="Ruller5"/>
        <w:rPr>
          <w:rtl/>
        </w:rPr>
      </w:pPr>
      <w:r w:rsidRPr="003E4F42">
        <w:rPr>
          <w:rFonts w:hint="cs"/>
          <w:rtl/>
        </w:rPr>
        <w:t>[...]</w:t>
      </w:r>
    </w:p>
    <w:p w:rsidR="001E6B43" w:rsidRPr="003E4F42" w:rsidRDefault="001E6B43" w:rsidP="001E6B43">
      <w:pPr>
        <w:pStyle w:val="Ruller5"/>
        <w:rPr>
          <w:rtl/>
        </w:rPr>
      </w:pPr>
      <w:r w:rsidRPr="003E4F42">
        <w:rPr>
          <w:rFonts w:hint="eastAsia"/>
          <w:rtl/>
        </w:rPr>
        <w:t>מאיר</w:t>
      </w:r>
      <w:r w:rsidRPr="003E4F42">
        <w:rPr>
          <w:rtl/>
        </w:rPr>
        <w:t xml:space="preserve"> </w:t>
      </w:r>
      <w:r w:rsidRPr="003E4F42">
        <w:rPr>
          <w:rFonts w:hint="eastAsia"/>
          <w:rtl/>
        </w:rPr>
        <w:t>אלמקייס</w:t>
      </w:r>
      <w:r w:rsidRPr="003E4F42">
        <w:rPr>
          <w:rtl/>
        </w:rPr>
        <w:t xml:space="preserve">: </w:t>
      </w:r>
    </w:p>
    <w:p w:rsidR="001E6B43" w:rsidRPr="003E4F42" w:rsidRDefault="001E6B43" w:rsidP="001E6B43">
      <w:pPr>
        <w:pStyle w:val="Ruller5"/>
        <w:rPr>
          <w:rtl/>
        </w:rPr>
      </w:pPr>
      <w:r w:rsidRPr="003E4F42">
        <w:rPr>
          <w:rFonts w:hint="eastAsia"/>
          <w:rtl/>
        </w:rPr>
        <w:t>כהנא</w:t>
      </w:r>
      <w:r w:rsidRPr="003E4F42">
        <w:rPr>
          <w:rtl/>
        </w:rPr>
        <w:t xml:space="preserve">, </w:t>
      </w:r>
      <w:r w:rsidRPr="003E4F42">
        <w:rPr>
          <w:rFonts w:hint="eastAsia"/>
          <w:rtl/>
        </w:rPr>
        <w:t>לא</w:t>
      </w:r>
      <w:r w:rsidRPr="003E4F42">
        <w:rPr>
          <w:rtl/>
        </w:rPr>
        <w:t xml:space="preserve"> </w:t>
      </w:r>
      <w:r w:rsidRPr="003E4F42">
        <w:rPr>
          <w:rFonts w:hint="eastAsia"/>
          <w:rtl/>
        </w:rPr>
        <w:t>רק</w:t>
      </w:r>
      <w:r w:rsidRPr="003E4F42">
        <w:rPr>
          <w:rtl/>
        </w:rPr>
        <w:t xml:space="preserve"> </w:t>
      </w:r>
      <w:r w:rsidRPr="003E4F42">
        <w:rPr>
          <w:rFonts w:hint="eastAsia"/>
          <w:rtl/>
        </w:rPr>
        <w:t>שאני</w:t>
      </w:r>
      <w:r w:rsidRPr="003E4F42">
        <w:rPr>
          <w:rtl/>
        </w:rPr>
        <w:t xml:space="preserve"> </w:t>
      </w:r>
      <w:r w:rsidRPr="003E4F42">
        <w:rPr>
          <w:rFonts w:hint="eastAsia"/>
          <w:rtl/>
        </w:rPr>
        <w:t>התנגדתי</w:t>
      </w:r>
      <w:r w:rsidRPr="003E4F42">
        <w:rPr>
          <w:rtl/>
        </w:rPr>
        <w:t xml:space="preserve"> </w:t>
      </w:r>
      <w:r w:rsidRPr="003E4F42">
        <w:rPr>
          <w:rFonts w:hint="eastAsia"/>
          <w:rtl/>
        </w:rPr>
        <w:t>לאופוזיציה</w:t>
      </w:r>
      <w:r w:rsidRPr="003E4F42">
        <w:rPr>
          <w:rtl/>
        </w:rPr>
        <w:t xml:space="preserve">, </w:t>
      </w:r>
      <w:r w:rsidRPr="003E4F42">
        <w:rPr>
          <w:rFonts w:hint="eastAsia"/>
          <w:rtl/>
        </w:rPr>
        <w:t>אלא</w:t>
      </w:r>
      <w:r w:rsidRPr="003E4F42">
        <w:rPr>
          <w:rtl/>
        </w:rPr>
        <w:t xml:space="preserve"> </w:t>
      </w:r>
      <w:r w:rsidRPr="003E4F42">
        <w:rPr>
          <w:rFonts w:hint="eastAsia"/>
          <w:rtl/>
        </w:rPr>
        <w:t>אפילו</w:t>
      </w:r>
      <w:r w:rsidRPr="003E4F42">
        <w:rPr>
          <w:rtl/>
        </w:rPr>
        <w:t xml:space="preserve"> </w:t>
      </w:r>
      <w:r w:rsidRPr="003E4F42">
        <w:rPr>
          <w:rFonts w:hint="eastAsia"/>
          <w:rtl/>
        </w:rPr>
        <w:t>סייעתי</w:t>
      </w:r>
      <w:r w:rsidRPr="003E4F42">
        <w:rPr>
          <w:rtl/>
        </w:rPr>
        <w:t xml:space="preserve"> </w:t>
      </w:r>
      <w:r w:rsidRPr="003E4F42">
        <w:rPr>
          <w:rFonts w:hint="eastAsia"/>
          <w:rtl/>
        </w:rPr>
        <w:t>לו</w:t>
      </w:r>
      <w:r w:rsidRPr="003E4F42">
        <w:rPr>
          <w:rtl/>
        </w:rPr>
        <w:t xml:space="preserve">, </w:t>
      </w:r>
      <w:r w:rsidRPr="003E4F42">
        <w:rPr>
          <w:rFonts w:hint="eastAsia"/>
          <w:rtl/>
        </w:rPr>
        <w:t>והצעתי</w:t>
      </w:r>
      <w:r w:rsidRPr="003E4F42">
        <w:rPr>
          <w:rtl/>
        </w:rPr>
        <w:t xml:space="preserve"> </w:t>
      </w:r>
      <w:r w:rsidRPr="003E4F42">
        <w:rPr>
          <w:rFonts w:hint="eastAsia"/>
          <w:rtl/>
        </w:rPr>
        <w:t>לו</w:t>
      </w:r>
      <w:r w:rsidRPr="003E4F42">
        <w:rPr>
          <w:rtl/>
        </w:rPr>
        <w:t xml:space="preserve">, </w:t>
      </w:r>
      <w:r w:rsidRPr="003E4F42">
        <w:rPr>
          <w:rFonts w:hint="eastAsia"/>
          <w:rtl/>
        </w:rPr>
        <w:t>בהתנדבות</w:t>
      </w:r>
      <w:r w:rsidRPr="003E4F42">
        <w:rPr>
          <w:rtl/>
        </w:rPr>
        <w:t xml:space="preserve">, </w:t>
      </w:r>
      <w:r w:rsidRPr="003E4F42">
        <w:rPr>
          <w:rFonts w:hint="eastAsia"/>
          <w:rtl/>
        </w:rPr>
        <w:t>לקחת</w:t>
      </w:r>
      <w:r w:rsidRPr="003E4F42">
        <w:rPr>
          <w:rtl/>
        </w:rPr>
        <w:t xml:space="preserve"> </w:t>
      </w:r>
      <w:r w:rsidRPr="003E4F42">
        <w:rPr>
          <w:rFonts w:hint="eastAsia"/>
          <w:rtl/>
        </w:rPr>
        <w:t>איזה</w:t>
      </w:r>
      <w:r w:rsidRPr="003E4F42">
        <w:rPr>
          <w:rtl/>
        </w:rPr>
        <w:t xml:space="preserve"> </w:t>
      </w:r>
      <w:r w:rsidRPr="003E4F42">
        <w:rPr>
          <w:rFonts w:hint="eastAsia"/>
          <w:rtl/>
        </w:rPr>
        <w:t>פרויקט</w:t>
      </w:r>
      <w:r w:rsidRPr="003E4F42">
        <w:rPr>
          <w:rtl/>
        </w:rPr>
        <w:t xml:space="preserve"> </w:t>
      </w:r>
      <w:r w:rsidRPr="003E4F42">
        <w:rPr>
          <w:rFonts w:hint="eastAsia"/>
          <w:rtl/>
        </w:rPr>
        <w:t>שהוא</w:t>
      </w:r>
      <w:r w:rsidRPr="003E4F42">
        <w:rPr>
          <w:rtl/>
        </w:rPr>
        <w:t xml:space="preserve"> </w:t>
      </w:r>
      <w:r w:rsidRPr="003E4F42">
        <w:rPr>
          <w:rFonts w:hint="eastAsia"/>
          <w:rtl/>
        </w:rPr>
        <w:t>ייתן</w:t>
      </w:r>
      <w:r w:rsidRPr="003E4F42">
        <w:rPr>
          <w:rtl/>
        </w:rPr>
        <w:t xml:space="preserve"> </w:t>
      </w:r>
      <w:r w:rsidRPr="003E4F42">
        <w:rPr>
          <w:rFonts w:hint="eastAsia"/>
          <w:rtl/>
        </w:rPr>
        <w:t>לי</w:t>
      </w:r>
      <w:r w:rsidRPr="003E4F42">
        <w:rPr>
          <w:rtl/>
        </w:rPr>
        <w:t xml:space="preserve"> </w:t>
      </w:r>
      <w:r w:rsidRPr="003E4F42">
        <w:rPr>
          <w:rFonts w:hint="eastAsia"/>
          <w:rtl/>
        </w:rPr>
        <w:t>לטובת</w:t>
      </w:r>
      <w:r w:rsidRPr="003E4F42">
        <w:rPr>
          <w:rtl/>
        </w:rPr>
        <w:t xml:space="preserve"> </w:t>
      </w:r>
      <w:r w:rsidRPr="003E4F42">
        <w:rPr>
          <w:rFonts w:hint="eastAsia"/>
          <w:rtl/>
        </w:rPr>
        <w:t>העיר</w:t>
      </w:r>
      <w:r w:rsidRPr="003E4F42">
        <w:rPr>
          <w:rtl/>
        </w:rPr>
        <w:t xml:space="preserve"> </w:t>
      </w:r>
      <w:r w:rsidRPr="003E4F42">
        <w:rPr>
          <w:rFonts w:hint="eastAsia"/>
          <w:rtl/>
        </w:rPr>
        <w:t>טבריה</w:t>
      </w:r>
      <w:r w:rsidRPr="003E4F42">
        <w:rPr>
          <w:rtl/>
        </w:rPr>
        <w:t>.</w:t>
      </w:r>
    </w:p>
    <w:p w:rsidR="001E6B43" w:rsidRPr="003E4F42" w:rsidRDefault="001E6B43" w:rsidP="001E6B43">
      <w:pPr>
        <w:pStyle w:val="Ruller5"/>
        <w:rPr>
          <w:rtl/>
        </w:rPr>
      </w:pPr>
      <w:r w:rsidRPr="003E4F42">
        <w:rPr>
          <w:rFonts w:hint="cs"/>
          <w:rtl/>
        </w:rPr>
        <w:t>[...]</w:t>
      </w:r>
    </w:p>
    <w:p w:rsidR="001E6B43" w:rsidRPr="003E4F42" w:rsidRDefault="001E6B43" w:rsidP="001E6B43">
      <w:pPr>
        <w:pStyle w:val="Ruller5"/>
        <w:rPr>
          <w:rtl/>
        </w:rPr>
      </w:pPr>
      <w:r w:rsidRPr="003E4F42">
        <w:rPr>
          <w:rFonts w:hint="eastAsia"/>
          <w:rtl/>
        </w:rPr>
        <w:t>זה</w:t>
      </w:r>
      <w:r w:rsidRPr="003E4F42">
        <w:rPr>
          <w:rtl/>
        </w:rPr>
        <w:t xml:space="preserve"> </w:t>
      </w:r>
      <w:r w:rsidRPr="003E4F42">
        <w:rPr>
          <w:rFonts w:hint="eastAsia"/>
          <w:rtl/>
        </w:rPr>
        <w:t>היה</w:t>
      </w:r>
      <w:r w:rsidRPr="003E4F42">
        <w:rPr>
          <w:rtl/>
        </w:rPr>
        <w:t xml:space="preserve"> </w:t>
      </w:r>
      <w:r w:rsidRPr="003E4F42">
        <w:rPr>
          <w:rFonts w:hint="eastAsia"/>
          <w:rtl/>
        </w:rPr>
        <w:t>לפני</w:t>
      </w:r>
      <w:r w:rsidRPr="003E4F42">
        <w:rPr>
          <w:rtl/>
        </w:rPr>
        <w:t xml:space="preserve"> </w:t>
      </w:r>
      <w:r w:rsidRPr="003E4F42">
        <w:rPr>
          <w:rFonts w:hint="eastAsia"/>
          <w:rtl/>
        </w:rPr>
        <w:t>כשלושה</w:t>
      </w:r>
      <w:r w:rsidRPr="003E4F42">
        <w:rPr>
          <w:rtl/>
        </w:rPr>
        <w:t xml:space="preserve"> </w:t>
      </w:r>
      <w:r w:rsidRPr="003E4F42">
        <w:rPr>
          <w:rFonts w:hint="eastAsia"/>
          <w:rtl/>
        </w:rPr>
        <w:t>חודשים</w:t>
      </w:r>
      <w:r w:rsidRPr="003E4F42">
        <w:rPr>
          <w:rtl/>
        </w:rPr>
        <w:t xml:space="preserve">. </w:t>
      </w:r>
      <w:r w:rsidRPr="003E4F42">
        <w:rPr>
          <w:rFonts w:hint="eastAsia"/>
          <w:rtl/>
        </w:rPr>
        <w:t>אנשים</w:t>
      </w:r>
      <w:r w:rsidRPr="003E4F42">
        <w:rPr>
          <w:rtl/>
        </w:rPr>
        <w:t xml:space="preserve"> </w:t>
      </w:r>
      <w:r w:rsidRPr="003E4F42">
        <w:rPr>
          <w:rFonts w:hint="eastAsia"/>
          <w:rtl/>
        </w:rPr>
        <w:t>לא</w:t>
      </w:r>
      <w:r w:rsidRPr="003E4F42">
        <w:rPr>
          <w:rtl/>
        </w:rPr>
        <w:t xml:space="preserve"> </w:t>
      </w:r>
      <w:r w:rsidRPr="003E4F42">
        <w:rPr>
          <w:rFonts w:hint="eastAsia"/>
          <w:rtl/>
        </w:rPr>
        <w:t>רואים</w:t>
      </w:r>
      <w:r w:rsidRPr="003E4F42">
        <w:rPr>
          <w:rtl/>
        </w:rPr>
        <w:t xml:space="preserve"> </w:t>
      </w:r>
      <w:r w:rsidRPr="003E4F42">
        <w:rPr>
          <w:rFonts w:hint="eastAsia"/>
          <w:rtl/>
        </w:rPr>
        <w:t>בו</w:t>
      </w:r>
      <w:r w:rsidRPr="003E4F42">
        <w:rPr>
          <w:rFonts w:hint="cs"/>
          <w:rtl/>
        </w:rPr>
        <w:t xml:space="preserve"> [בבועז יוסף </w:t>
      </w:r>
      <w:r w:rsidRPr="003E4F42">
        <w:rPr>
          <w:rtl/>
        </w:rPr>
        <w:t>–</w:t>
      </w:r>
      <w:r w:rsidRPr="003E4F42">
        <w:rPr>
          <w:rFonts w:hint="cs"/>
          <w:rtl/>
        </w:rPr>
        <w:t xml:space="preserve"> ע' פ']</w:t>
      </w:r>
      <w:r w:rsidRPr="003E4F42">
        <w:rPr>
          <w:rtl/>
        </w:rPr>
        <w:t xml:space="preserve"> </w:t>
      </w:r>
      <w:r w:rsidRPr="003E4F42">
        <w:rPr>
          <w:rFonts w:hint="eastAsia"/>
          <w:rtl/>
        </w:rPr>
        <w:t>מתמודד</w:t>
      </w:r>
      <w:r w:rsidRPr="003E4F42">
        <w:rPr>
          <w:rtl/>
        </w:rPr>
        <w:t xml:space="preserve"> </w:t>
      </w:r>
      <w:r w:rsidRPr="003E4F42">
        <w:rPr>
          <w:rFonts w:hint="eastAsia"/>
          <w:rtl/>
        </w:rPr>
        <w:t>פוטנציאלי</w:t>
      </w:r>
      <w:r w:rsidRPr="003E4F42">
        <w:rPr>
          <w:rtl/>
        </w:rPr>
        <w:t xml:space="preserve">, </w:t>
      </w:r>
      <w:r w:rsidRPr="003E4F42">
        <w:rPr>
          <w:rFonts w:hint="eastAsia"/>
          <w:rtl/>
        </w:rPr>
        <w:t>וכולם</w:t>
      </w:r>
      <w:r w:rsidRPr="003E4F42">
        <w:rPr>
          <w:rtl/>
        </w:rPr>
        <w:t xml:space="preserve"> </w:t>
      </w:r>
      <w:r w:rsidRPr="003E4F42">
        <w:rPr>
          <w:rFonts w:hint="eastAsia"/>
          <w:rtl/>
        </w:rPr>
        <w:t>באים</w:t>
      </w:r>
      <w:r w:rsidRPr="003E4F42">
        <w:rPr>
          <w:rtl/>
        </w:rPr>
        <w:t xml:space="preserve"> </w:t>
      </w:r>
      <w:r w:rsidRPr="003E4F42">
        <w:rPr>
          <w:rFonts w:hint="eastAsia"/>
          <w:rtl/>
        </w:rPr>
        <w:t>לעזור</w:t>
      </w:r>
      <w:r w:rsidRPr="003E4F42">
        <w:rPr>
          <w:rtl/>
        </w:rPr>
        <w:t xml:space="preserve"> </w:t>
      </w:r>
      <w:r w:rsidRPr="003E4F42">
        <w:rPr>
          <w:rFonts w:hint="eastAsia"/>
          <w:rtl/>
        </w:rPr>
        <w:t>לו</w:t>
      </w:r>
      <w:r w:rsidRPr="003E4F42">
        <w:rPr>
          <w:rtl/>
        </w:rPr>
        <w:t xml:space="preserve">, </w:t>
      </w:r>
      <w:r w:rsidRPr="003E4F42">
        <w:rPr>
          <w:rFonts w:hint="eastAsia"/>
          <w:rtl/>
        </w:rPr>
        <w:t>העיקר</w:t>
      </w:r>
      <w:r w:rsidRPr="003E4F42">
        <w:rPr>
          <w:rtl/>
        </w:rPr>
        <w:t xml:space="preserve"> </w:t>
      </w:r>
      <w:r w:rsidRPr="003E4F42">
        <w:rPr>
          <w:rFonts w:hint="eastAsia"/>
          <w:rtl/>
        </w:rPr>
        <w:t>שיצליח</w:t>
      </w:r>
      <w:r w:rsidRPr="003E4F42">
        <w:rPr>
          <w:rtl/>
        </w:rPr>
        <w:t>.</w:t>
      </w:r>
    </w:p>
    <w:p w:rsidR="001E6B43" w:rsidRPr="003E4F42" w:rsidRDefault="001E6B43" w:rsidP="001E6B43">
      <w:pPr>
        <w:pStyle w:val="Ruller5"/>
        <w:rPr>
          <w:rtl/>
        </w:rPr>
      </w:pPr>
    </w:p>
    <w:p w:rsidR="001E6B43" w:rsidRPr="003E4F42" w:rsidRDefault="001E6B43" w:rsidP="001E6B43">
      <w:pPr>
        <w:pStyle w:val="Ruller5"/>
        <w:rPr>
          <w:rtl/>
        </w:rPr>
      </w:pPr>
      <w:r w:rsidRPr="003E4F42">
        <w:rPr>
          <w:rFonts w:hint="eastAsia"/>
          <w:rtl/>
        </w:rPr>
        <w:t>מתן</w:t>
      </w:r>
      <w:r w:rsidRPr="003E4F42">
        <w:rPr>
          <w:rtl/>
        </w:rPr>
        <w:t xml:space="preserve"> </w:t>
      </w:r>
      <w:r w:rsidRPr="003E4F42">
        <w:rPr>
          <w:rFonts w:hint="eastAsia"/>
          <w:rtl/>
        </w:rPr>
        <w:t>כהנא</w:t>
      </w:r>
      <w:r w:rsidRPr="003E4F42">
        <w:rPr>
          <w:rtl/>
        </w:rPr>
        <w:t xml:space="preserve"> (</w:t>
      </w:r>
      <w:r w:rsidRPr="003E4F42">
        <w:rPr>
          <w:rFonts w:hint="eastAsia"/>
          <w:rtl/>
        </w:rPr>
        <w:t>המחנה</w:t>
      </w:r>
      <w:r w:rsidRPr="003E4F42">
        <w:rPr>
          <w:rtl/>
        </w:rPr>
        <w:t xml:space="preserve"> </w:t>
      </w:r>
      <w:r w:rsidRPr="003E4F42">
        <w:rPr>
          <w:rFonts w:hint="eastAsia"/>
          <w:rtl/>
        </w:rPr>
        <w:t>הממלכתי</w:t>
      </w:r>
      <w:r w:rsidRPr="003E4F42">
        <w:rPr>
          <w:rtl/>
        </w:rPr>
        <w:t xml:space="preserve">): </w:t>
      </w:r>
    </w:p>
    <w:p w:rsidR="001E6B43" w:rsidRPr="003E4F42" w:rsidRDefault="001E6B43" w:rsidP="001E6B43">
      <w:pPr>
        <w:pStyle w:val="Ruller5"/>
        <w:rPr>
          <w:rtl/>
        </w:rPr>
      </w:pPr>
      <w:r w:rsidRPr="003E4F42">
        <w:rPr>
          <w:rFonts w:hint="eastAsia"/>
          <w:rtl/>
        </w:rPr>
        <w:t>יכול</w:t>
      </w:r>
      <w:r w:rsidRPr="003E4F42">
        <w:rPr>
          <w:rtl/>
        </w:rPr>
        <w:t xml:space="preserve"> </w:t>
      </w:r>
      <w:r w:rsidRPr="003E4F42">
        <w:rPr>
          <w:rFonts w:hint="eastAsia"/>
          <w:rtl/>
        </w:rPr>
        <w:t>להיות</w:t>
      </w:r>
      <w:r w:rsidRPr="003E4F42">
        <w:rPr>
          <w:rtl/>
        </w:rPr>
        <w:t xml:space="preserve"> </w:t>
      </w:r>
      <w:r w:rsidRPr="003E4F42">
        <w:rPr>
          <w:rFonts w:hint="eastAsia"/>
          <w:rtl/>
        </w:rPr>
        <w:t>שמאיר</w:t>
      </w:r>
      <w:r w:rsidRPr="003E4F42">
        <w:rPr>
          <w:rtl/>
        </w:rPr>
        <w:t xml:space="preserve"> </w:t>
      </w:r>
      <w:r w:rsidRPr="003E4F42">
        <w:rPr>
          <w:rFonts w:hint="eastAsia"/>
          <w:rtl/>
        </w:rPr>
        <w:t>אלמקייס</w:t>
      </w:r>
      <w:r w:rsidRPr="003E4F42">
        <w:rPr>
          <w:rtl/>
        </w:rPr>
        <w:t xml:space="preserve"> </w:t>
      </w:r>
      <w:r w:rsidRPr="003E4F42">
        <w:rPr>
          <w:rFonts w:hint="eastAsia"/>
          <w:rtl/>
        </w:rPr>
        <w:t>חשב</w:t>
      </w:r>
      <w:r w:rsidRPr="003E4F42">
        <w:rPr>
          <w:rtl/>
        </w:rPr>
        <w:t xml:space="preserve"> </w:t>
      </w:r>
      <w:r w:rsidRPr="003E4F42">
        <w:rPr>
          <w:rFonts w:hint="eastAsia"/>
          <w:rtl/>
        </w:rPr>
        <w:t>שהדרך</w:t>
      </w:r>
      <w:r w:rsidRPr="003E4F42">
        <w:rPr>
          <w:rtl/>
        </w:rPr>
        <w:t xml:space="preserve"> </w:t>
      </w:r>
      <w:r w:rsidRPr="003E4F42">
        <w:rPr>
          <w:rFonts w:hint="eastAsia"/>
          <w:rtl/>
        </w:rPr>
        <w:t>שלו</w:t>
      </w:r>
      <w:r w:rsidRPr="003E4F42">
        <w:rPr>
          <w:rtl/>
        </w:rPr>
        <w:t xml:space="preserve"> </w:t>
      </w:r>
      <w:r w:rsidRPr="003E4F42">
        <w:rPr>
          <w:rFonts w:hint="eastAsia"/>
          <w:rtl/>
        </w:rPr>
        <w:t>לעזור</w:t>
      </w:r>
      <w:r w:rsidRPr="003E4F42">
        <w:rPr>
          <w:rtl/>
        </w:rPr>
        <w:t xml:space="preserve"> </w:t>
      </w:r>
      <w:r w:rsidRPr="003E4F42">
        <w:rPr>
          <w:rFonts w:hint="eastAsia"/>
          <w:rtl/>
        </w:rPr>
        <w:t>לעצמו</w:t>
      </w:r>
      <w:r w:rsidRPr="003E4F42">
        <w:rPr>
          <w:rtl/>
        </w:rPr>
        <w:t xml:space="preserve"> </w:t>
      </w:r>
      <w:r w:rsidRPr="003E4F42">
        <w:rPr>
          <w:rFonts w:hint="eastAsia"/>
          <w:rtl/>
        </w:rPr>
        <w:t>בהתמודדות</w:t>
      </w:r>
      <w:r w:rsidRPr="003E4F42">
        <w:rPr>
          <w:rtl/>
        </w:rPr>
        <w:t xml:space="preserve"> </w:t>
      </w:r>
      <w:r w:rsidRPr="003E4F42">
        <w:rPr>
          <w:rFonts w:hint="eastAsia"/>
          <w:rtl/>
        </w:rPr>
        <w:t>היא</w:t>
      </w:r>
      <w:r w:rsidRPr="003E4F42">
        <w:rPr>
          <w:rtl/>
        </w:rPr>
        <w:t xml:space="preserve"> </w:t>
      </w:r>
      <w:r w:rsidRPr="003E4F42">
        <w:rPr>
          <w:rFonts w:hint="eastAsia"/>
          <w:rtl/>
        </w:rPr>
        <w:t>לעזור</w:t>
      </w:r>
      <w:r w:rsidRPr="003E4F42">
        <w:rPr>
          <w:rtl/>
        </w:rPr>
        <w:t xml:space="preserve"> </w:t>
      </w:r>
      <w:r w:rsidRPr="003E4F42">
        <w:rPr>
          <w:rFonts w:hint="eastAsia"/>
          <w:rtl/>
        </w:rPr>
        <w:t>לו</w:t>
      </w:r>
      <w:r w:rsidRPr="003E4F42">
        <w:rPr>
          <w:rtl/>
        </w:rPr>
        <w:t>.</w:t>
      </w:r>
    </w:p>
    <w:p w:rsidR="001E6B43" w:rsidRPr="003E4F42" w:rsidRDefault="001E6B43" w:rsidP="001E6B43">
      <w:pPr>
        <w:pStyle w:val="Ruller5"/>
        <w:rPr>
          <w:rtl/>
        </w:rPr>
      </w:pPr>
    </w:p>
    <w:p w:rsidR="001E6B43" w:rsidRPr="003E4F42" w:rsidRDefault="001E6B43" w:rsidP="001E6B43">
      <w:pPr>
        <w:pStyle w:val="Ruller5"/>
        <w:rPr>
          <w:rtl/>
        </w:rPr>
      </w:pPr>
      <w:r w:rsidRPr="003E4F42">
        <w:rPr>
          <w:rFonts w:hint="eastAsia"/>
          <w:rtl/>
        </w:rPr>
        <w:t>מאיר</w:t>
      </w:r>
      <w:r w:rsidRPr="003E4F42">
        <w:rPr>
          <w:rtl/>
        </w:rPr>
        <w:t xml:space="preserve"> </w:t>
      </w:r>
      <w:r w:rsidRPr="003E4F42">
        <w:rPr>
          <w:rFonts w:hint="eastAsia"/>
          <w:rtl/>
        </w:rPr>
        <w:t>אלמקייס</w:t>
      </w:r>
      <w:r w:rsidRPr="003E4F42">
        <w:rPr>
          <w:rtl/>
        </w:rPr>
        <w:t xml:space="preserve">: </w:t>
      </w:r>
    </w:p>
    <w:p w:rsidR="001E6B43" w:rsidRPr="003E4F42" w:rsidRDefault="001E6B43" w:rsidP="001E6B43">
      <w:pPr>
        <w:pStyle w:val="Ruller5"/>
        <w:rPr>
          <w:rtl/>
        </w:rPr>
      </w:pPr>
      <w:r w:rsidRPr="003E4F42">
        <w:rPr>
          <w:rFonts w:hint="eastAsia"/>
          <w:rtl/>
        </w:rPr>
        <w:t>נכון</w:t>
      </w:r>
      <w:r w:rsidRPr="003E4F42">
        <w:rPr>
          <w:rtl/>
        </w:rPr>
        <w:t xml:space="preserve">. </w:t>
      </w:r>
      <w:r w:rsidRPr="003E4F42">
        <w:rPr>
          <w:rFonts w:hint="eastAsia"/>
          <w:rtl/>
        </w:rPr>
        <w:t>זה</w:t>
      </w:r>
      <w:r w:rsidRPr="003E4F42">
        <w:rPr>
          <w:rtl/>
        </w:rPr>
        <w:t xml:space="preserve"> </w:t>
      </w:r>
      <w:r w:rsidRPr="003E4F42">
        <w:rPr>
          <w:rFonts w:hint="eastAsia"/>
          <w:rtl/>
        </w:rPr>
        <w:t>בדיוק</w:t>
      </w:r>
      <w:r w:rsidRPr="003E4F42">
        <w:rPr>
          <w:rtl/>
        </w:rPr>
        <w:t xml:space="preserve"> </w:t>
      </w:r>
      <w:r w:rsidRPr="003E4F42">
        <w:rPr>
          <w:rFonts w:hint="eastAsia"/>
          <w:rtl/>
        </w:rPr>
        <w:t>מה</w:t>
      </w:r>
      <w:r w:rsidRPr="003E4F42">
        <w:rPr>
          <w:rtl/>
        </w:rPr>
        <w:t xml:space="preserve"> </w:t>
      </w:r>
      <w:r w:rsidRPr="003E4F42">
        <w:rPr>
          <w:rFonts w:hint="eastAsia"/>
          <w:rtl/>
        </w:rPr>
        <w:t>שהיה</w:t>
      </w:r>
      <w:r w:rsidRPr="003E4F42">
        <w:rPr>
          <w:rFonts w:hint="cs"/>
          <w:rtl/>
        </w:rPr>
        <w:t>"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36-35). </w:t>
      </w:r>
    </w:p>
    <w:p w:rsidR="001E6B43" w:rsidRPr="003E4F42" w:rsidRDefault="001E6B43" w:rsidP="001E6B43">
      <w:pPr>
        <w:pStyle w:val="Ruller4"/>
        <w:numPr>
          <w:ilvl w:val="0"/>
          <w:numId w:val="0"/>
        </w:numPr>
        <w:rPr>
          <w:rtl/>
        </w:rPr>
      </w:pPr>
      <w:r w:rsidRPr="003E4F42">
        <w:rPr>
          <w:rFonts w:hint="cs"/>
          <w:rtl/>
        </w:rPr>
        <w:t xml:space="preserve"> </w:t>
      </w:r>
      <w:r w:rsidRPr="003E4F42">
        <w:rPr>
          <w:rtl/>
        </w:rPr>
        <w:tab/>
      </w:r>
    </w:p>
    <w:p w:rsidR="001E6B43" w:rsidRPr="003E4F42" w:rsidRDefault="001E6B43" w:rsidP="001E6B43">
      <w:pPr>
        <w:pStyle w:val="Ruller41"/>
        <w:rPr>
          <w:rtl/>
        </w:rPr>
      </w:pPr>
      <w:r w:rsidRPr="003E4F42">
        <w:rPr>
          <w:rtl/>
        </w:rPr>
        <w:tab/>
      </w:r>
      <w:r w:rsidRPr="003E4F42">
        <w:rPr>
          <w:rFonts w:hint="cs"/>
          <w:rtl/>
        </w:rPr>
        <w:t xml:space="preserve">קביעה כי התיקון חל על מערכת הבחירות הקרובה </w:t>
      </w:r>
      <w:r w:rsidRPr="003E4F42">
        <w:rPr>
          <w:rtl/>
        </w:rPr>
        <w:t>–</w:t>
      </w:r>
      <w:r w:rsidRPr="003E4F42">
        <w:rPr>
          <w:rFonts w:hint="cs"/>
          <w:rtl/>
        </w:rPr>
        <w:t xml:space="preserve"> כך שמי שלא היה כשיר להתמודד בבחירות הופך לכזה </w:t>
      </w:r>
      <w:r w:rsidRPr="003E4F42">
        <w:rPr>
          <w:rtl/>
        </w:rPr>
        <w:t>–</w:t>
      </w:r>
      <w:r w:rsidRPr="003E4F42">
        <w:rPr>
          <w:rFonts w:hint="cs"/>
          <w:rtl/>
        </w:rPr>
        <w:t xml:space="preserve"> משנה אפוא את המשמעויות של מינוי ועדה ממונה, כמו גם פעולות שנעשו בזיקה אליהן. </w:t>
      </w:r>
    </w:p>
    <w:p w:rsidR="001E6B43" w:rsidRPr="003E4F42" w:rsidRDefault="001E6B43" w:rsidP="001E6B43">
      <w:pPr>
        <w:pStyle w:val="Ruller41"/>
        <w:rPr>
          <w:rtl/>
        </w:rPr>
      </w:pPr>
    </w:p>
    <w:p w:rsidR="001E6B43" w:rsidRPr="003E4F42" w:rsidRDefault="001E6B43" w:rsidP="001E6B43">
      <w:pPr>
        <w:pStyle w:val="Ruller4"/>
        <w:rPr>
          <w:rFonts w:ascii="Century" w:hAnsi="Century" w:cs="Miriam"/>
          <w:b/>
          <w:spacing w:val="0"/>
          <w:szCs w:val="24"/>
          <w:rtl/>
        </w:rPr>
      </w:pPr>
      <w:r w:rsidRPr="003E4F42">
        <w:rPr>
          <w:rFonts w:hint="cs"/>
          <w:rtl/>
        </w:rPr>
        <w:t xml:space="preserve">ביטוי נוסף לממד רטרוספקטיבי זה נעוץ בדיני התעמולה, שכפי שכבר ציינתי לעיל, אינם מותאמים בעת הזו לתיקון מס' 53. דוגמה מובהקת לכך נעוצה בהוראת סעיף 2א לחוק </w:t>
      </w:r>
      <w:r w:rsidRPr="003E4F42">
        <w:rPr>
          <w:rFonts w:hint="eastAsia"/>
          <w:rtl/>
        </w:rPr>
        <w:t>הבחירות</w:t>
      </w:r>
      <w:r w:rsidRPr="003E4F42">
        <w:rPr>
          <w:rtl/>
        </w:rPr>
        <w:t xml:space="preserve"> (</w:t>
      </w:r>
      <w:r w:rsidRPr="003E4F42">
        <w:rPr>
          <w:rFonts w:hint="eastAsia"/>
          <w:rtl/>
        </w:rPr>
        <w:t>דרכי</w:t>
      </w:r>
      <w:r w:rsidRPr="003E4F42">
        <w:rPr>
          <w:rtl/>
        </w:rPr>
        <w:t xml:space="preserve"> </w:t>
      </w:r>
      <w:r w:rsidRPr="003E4F42">
        <w:rPr>
          <w:rFonts w:hint="eastAsia"/>
          <w:rtl/>
        </w:rPr>
        <w:t>תעמולה</w:t>
      </w:r>
      <w:r w:rsidRPr="003E4F42">
        <w:rPr>
          <w:rtl/>
        </w:rPr>
        <w:t xml:space="preserve">), </w:t>
      </w:r>
      <w:r w:rsidRPr="003E4F42">
        <w:rPr>
          <w:rFonts w:hint="eastAsia"/>
          <w:rtl/>
        </w:rPr>
        <w:t>תשי</w:t>
      </w:r>
      <w:r w:rsidRPr="003E4F42">
        <w:rPr>
          <w:rtl/>
        </w:rPr>
        <w:t>"</w:t>
      </w:r>
      <w:r w:rsidRPr="003E4F42">
        <w:rPr>
          <w:rFonts w:hint="eastAsia"/>
          <w:rtl/>
        </w:rPr>
        <w:t>ט</w:t>
      </w:r>
      <w:r w:rsidRPr="003E4F42">
        <w:rPr>
          <w:rtl/>
        </w:rPr>
        <w:t>-1959</w:t>
      </w:r>
      <w:r w:rsidRPr="003E4F42">
        <w:rPr>
          <w:rFonts w:hint="cs"/>
          <w:rtl/>
        </w:rPr>
        <w:t xml:space="preserve"> שאוסרת על שימוש בנכסי ציבור בקשר עם תעמולת בחירות. משיבי הממשלה ציינו בהקשר זה כי האמור בסעיף 2א "</w:t>
      </w:r>
      <w:r w:rsidRPr="003E4F42">
        <w:rPr>
          <w:rFonts w:hint="eastAsia"/>
          <w:rtl/>
        </w:rPr>
        <w:t>ודאי</w:t>
      </w:r>
      <w:r w:rsidRPr="003E4F42">
        <w:rPr>
          <w:rtl/>
        </w:rPr>
        <w:t xml:space="preserve"> </w:t>
      </w:r>
      <w:r w:rsidRPr="003E4F42">
        <w:rPr>
          <w:rFonts w:hint="eastAsia"/>
          <w:rtl/>
        </w:rPr>
        <w:t>שלא</w:t>
      </w:r>
      <w:r w:rsidRPr="003E4F42">
        <w:rPr>
          <w:rtl/>
        </w:rPr>
        <w:t xml:space="preserve"> </w:t>
      </w:r>
      <w:r w:rsidRPr="003E4F42">
        <w:rPr>
          <w:rFonts w:hint="eastAsia"/>
          <w:rtl/>
        </w:rPr>
        <w:t>חל</w:t>
      </w:r>
      <w:r w:rsidRPr="003E4F42">
        <w:rPr>
          <w:rtl/>
        </w:rPr>
        <w:t xml:space="preserve"> </w:t>
      </w:r>
      <w:r w:rsidRPr="003E4F42">
        <w:rPr>
          <w:rFonts w:hint="eastAsia"/>
          <w:rtl/>
        </w:rPr>
        <w:t>בה</w:t>
      </w:r>
      <w:r w:rsidRPr="003E4F42">
        <w:rPr>
          <w:rtl/>
        </w:rPr>
        <w:t xml:space="preserve"> </w:t>
      </w:r>
      <w:r w:rsidRPr="003E4F42">
        <w:rPr>
          <w:rFonts w:hint="eastAsia"/>
          <w:rtl/>
        </w:rPr>
        <w:t>במידה</w:t>
      </w:r>
      <w:r w:rsidRPr="003E4F42">
        <w:rPr>
          <w:rtl/>
        </w:rPr>
        <w:t xml:space="preserve"> </w:t>
      </w:r>
      <w:r w:rsidRPr="003E4F42">
        <w:rPr>
          <w:rFonts w:hint="eastAsia"/>
          <w:rtl/>
        </w:rPr>
        <w:t>על</w:t>
      </w:r>
      <w:r w:rsidRPr="003E4F42">
        <w:rPr>
          <w:rFonts w:hint="cs"/>
          <w:rtl/>
        </w:rPr>
        <w:t xml:space="preserve"> </w:t>
      </w:r>
      <w:r w:rsidRPr="003E4F42">
        <w:rPr>
          <w:rFonts w:hint="eastAsia"/>
          <w:rtl/>
        </w:rPr>
        <w:t>עובד</w:t>
      </w:r>
      <w:r w:rsidRPr="003E4F42">
        <w:rPr>
          <w:rtl/>
        </w:rPr>
        <w:t xml:space="preserve"> </w:t>
      </w:r>
      <w:r w:rsidRPr="003E4F42">
        <w:rPr>
          <w:rFonts w:hint="eastAsia"/>
          <w:rtl/>
        </w:rPr>
        <w:t>ציבור</w:t>
      </w:r>
      <w:r w:rsidRPr="003E4F42">
        <w:rPr>
          <w:rtl/>
        </w:rPr>
        <w:t xml:space="preserve"> </w:t>
      </w:r>
      <w:r w:rsidRPr="003E4F42">
        <w:rPr>
          <w:rFonts w:hint="eastAsia"/>
          <w:rtl/>
        </w:rPr>
        <w:t>עת</w:t>
      </w:r>
      <w:r w:rsidRPr="003E4F42">
        <w:rPr>
          <w:rtl/>
        </w:rPr>
        <w:t xml:space="preserve"> </w:t>
      </w:r>
      <w:r w:rsidRPr="003E4F42">
        <w:rPr>
          <w:rFonts w:hint="eastAsia"/>
          <w:rtl/>
        </w:rPr>
        <w:t>שהיה</w:t>
      </w:r>
      <w:r w:rsidRPr="003E4F42">
        <w:rPr>
          <w:rtl/>
        </w:rPr>
        <w:t xml:space="preserve"> </w:t>
      </w:r>
      <w:r w:rsidRPr="003E4F42">
        <w:rPr>
          <w:rFonts w:hint="eastAsia"/>
          <w:rtl/>
        </w:rPr>
        <w:t>מנוע</w:t>
      </w:r>
      <w:r w:rsidRPr="003E4F42">
        <w:rPr>
          <w:rtl/>
        </w:rPr>
        <w:t xml:space="preserve"> </w:t>
      </w:r>
      <w:r w:rsidRPr="003E4F42">
        <w:rPr>
          <w:rFonts w:hint="eastAsia"/>
          <w:rtl/>
        </w:rPr>
        <w:t>להתמודד</w:t>
      </w:r>
      <w:r w:rsidRPr="003E4F42">
        <w:rPr>
          <w:rtl/>
        </w:rPr>
        <w:t xml:space="preserve"> </w:t>
      </w:r>
      <w:r w:rsidRPr="003E4F42">
        <w:rPr>
          <w:rFonts w:hint="eastAsia"/>
          <w:rtl/>
        </w:rPr>
        <w:t>בבחירות</w:t>
      </w:r>
      <w:r w:rsidRPr="003E4F42">
        <w:rPr>
          <w:rtl/>
        </w:rPr>
        <w:t xml:space="preserve"> </w:t>
      </w:r>
      <w:r w:rsidRPr="003E4F42">
        <w:rPr>
          <w:rFonts w:hint="eastAsia"/>
          <w:rtl/>
        </w:rPr>
        <w:t>עד</w:t>
      </w:r>
      <w:r w:rsidRPr="003E4F42">
        <w:rPr>
          <w:rtl/>
        </w:rPr>
        <w:t xml:space="preserve"> </w:t>
      </w:r>
      <w:r w:rsidRPr="003E4F42">
        <w:rPr>
          <w:rFonts w:hint="eastAsia"/>
          <w:rtl/>
        </w:rPr>
        <w:t>לפני</w:t>
      </w:r>
      <w:r w:rsidRPr="003E4F42">
        <w:rPr>
          <w:rtl/>
        </w:rPr>
        <w:t xml:space="preserve"> </w:t>
      </w:r>
      <w:r w:rsidRPr="003E4F42">
        <w:rPr>
          <w:rFonts w:hint="eastAsia"/>
          <w:rtl/>
        </w:rPr>
        <w:t>זמן</w:t>
      </w:r>
      <w:r w:rsidRPr="003E4F42">
        <w:rPr>
          <w:rtl/>
        </w:rPr>
        <w:t xml:space="preserve"> </w:t>
      </w:r>
      <w:r w:rsidRPr="003E4F42">
        <w:rPr>
          <w:rFonts w:hint="eastAsia"/>
          <w:rtl/>
        </w:rPr>
        <w:t>קצר</w:t>
      </w:r>
      <w:r w:rsidRPr="003E4F42">
        <w:rPr>
          <w:rtl/>
        </w:rPr>
        <w:t xml:space="preserve"> </w:t>
      </w:r>
      <w:r w:rsidRPr="003E4F42">
        <w:rPr>
          <w:rFonts w:hint="eastAsia"/>
          <w:rtl/>
        </w:rPr>
        <w:t>כפי</w:t>
      </w:r>
      <w:r w:rsidRPr="003E4F42">
        <w:rPr>
          <w:rtl/>
        </w:rPr>
        <w:t xml:space="preserve"> </w:t>
      </w:r>
      <w:r w:rsidRPr="003E4F42">
        <w:rPr>
          <w:rFonts w:hint="eastAsia"/>
          <w:rtl/>
        </w:rPr>
        <w:t>שחל</w:t>
      </w:r>
      <w:r w:rsidRPr="003E4F42">
        <w:rPr>
          <w:rtl/>
        </w:rPr>
        <w:t xml:space="preserve"> </w:t>
      </w:r>
      <w:r w:rsidRPr="003E4F42">
        <w:rPr>
          <w:rFonts w:hint="eastAsia"/>
          <w:rtl/>
        </w:rPr>
        <w:t>על</w:t>
      </w:r>
      <w:r w:rsidRPr="003E4F42">
        <w:rPr>
          <w:rtl/>
        </w:rPr>
        <w:t xml:space="preserve"> </w:t>
      </w:r>
      <w:r w:rsidRPr="003E4F42">
        <w:rPr>
          <w:rFonts w:hint="eastAsia"/>
          <w:rtl/>
        </w:rPr>
        <w:t>נבחר</w:t>
      </w:r>
      <w:r w:rsidRPr="003E4F42">
        <w:rPr>
          <w:rtl/>
        </w:rPr>
        <w:t xml:space="preserve"> </w:t>
      </w:r>
      <w:r w:rsidRPr="003E4F42">
        <w:rPr>
          <w:rFonts w:hint="eastAsia"/>
          <w:rtl/>
        </w:rPr>
        <w:t>ציבור</w:t>
      </w:r>
      <w:r w:rsidRPr="003E4F42">
        <w:rPr>
          <w:rFonts w:hint="cs"/>
          <w:rtl/>
        </w:rPr>
        <w:t xml:space="preserve"> </w:t>
      </w:r>
      <w:r w:rsidRPr="003E4F42">
        <w:rPr>
          <w:rFonts w:hint="eastAsia"/>
          <w:rtl/>
        </w:rPr>
        <w:t>שיתמודד</w:t>
      </w:r>
      <w:r w:rsidRPr="003E4F42">
        <w:rPr>
          <w:rtl/>
        </w:rPr>
        <w:t xml:space="preserve"> </w:t>
      </w:r>
      <w:r w:rsidRPr="003E4F42">
        <w:rPr>
          <w:rFonts w:hint="eastAsia"/>
          <w:rtl/>
        </w:rPr>
        <w:t>בהן</w:t>
      </w:r>
      <w:r w:rsidRPr="003E4F42">
        <w:rPr>
          <w:rtl/>
        </w:rPr>
        <w:t xml:space="preserve">, </w:t>
      </w:r>
      <w:r w:rsidRPr="003E4F42">
        <w:rPr>
          <w:rFonts w:hint="eastAsia"/>
          <w:rtl/>
        </w:rPr>
        <w:t>ולא</w:t>
      </w:r>
      <w:r w:rsidRPr="003E4F42">
        <w:rPr>
          <w:rtl/>
        </w:rPr>
        <w:t xml:space="preserve"> </w:t>
      </w:r>
      <w:r w:rsidRPr="003E4F42">
        <w:rPr>
          <w:rFonts w:hint="eastAsia"/>
          <w:rtl/>
        </w:rPr>
        <w:t>ניתן</w:t>
      </w:r>
      <w:r w:rsidRPr="003E4F42">
        <w:rPr>
          <w:rtl/>
        </w:rPr>
        <w:t xml:space="preserve"> </w:t>
      </w:r>
      <w:r w:rsidRPr="003E4F42">
        <w:rPr>
          <w:rFonts w:hint="eastAsia"/>
          <w:rtl/>
        </w:rPr>
        <w:t>לשנות</w:t>
      </w:r>
      <w:r w:rsidRPr="003E4F42">
        <w:rPr>
          <w:rtl/>
        </w:rPr>
        <w:t xml:space="preserve"> </w:t>
      </w:r>
      <w:r w:rsidRPr="003E4F42">
        <w:rPr>
          <w:rFonts w:hint="eastAsia"/>
          <w:rtl/>
        </w:rPr>
        <w:t>בדיעבד</w:t>
      </w:r>
      <w:r w:rsidRPr="003E4F42">
        <w:rPr>
          <w:rtl/>
        </w:rPr>
        <w:t xml:space="preserve"> </w:t>
      </w:r>
      <w:r w:rsidRPr="003E4F42">
        <w:rPr>
          <w:rFonts w:hint="eastAsia"/>
          <w:rtl/>
        </w:rPr>
        <w:t>מצב</w:t>
      </w:r>
      <w:r w:rsidRPr="003E4F42">
        <w:rPr>
          <w:rtl/>
        </w:rPr>
        <w:t xml:space="preserve"> </w:t>
      </w:r>
      <w:r w:rsidRPr="003E4F42">
        <w:rPr>
          <w:rFonts w:hint="eastAsia"/>
          <w:rtl/>
        </w:rPr>
        <w:t>זה</w:t>
      </w:r>
      <w:r w:rsidRPr="003E4F42">
        <w:rPr>
          <w:rFonts w:hint="cs"/>
          <w:rtl/>
        </w:rPr>
        <w:t xml:space="preserve">" (סעיף 80 </w:t>
      </w:r>
      <w:r w:rsidRPr="003E4F42">
        <w:rPr>
          <w:rFonts w:hint="cs"/>
          <w:rtl/>
        </w:rPr>
        <w:lastRenderedPageBreak/>
        <w:t xml:space="preserve">לתצהיר התשובה). מבלי להביע עמדה לגופה של הסוגיה (שלא ניצבת במישרין לדיון לפנינו), הרי שדי באפשרות שפרסומים שערב תיקון מס' 53 לא נחשבו תעמולת בחירות אסורה ועשויים להיות כאלה כיום, כדי ללמד על הממד הרטרוספקטיבי שנעוץ בתחולתו המידית של התיקון (וראו גם את האמור בתשובת הכנסת, בסעיף 137; כן ראו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hint="cs"/>
          <w:rtl/>
        </w:rPr>
        <w:t xml:space="preserve">, בעמ' 31-29). לכך יש להוסיף כי קיים קושי </w:t>
      </w:r>
      <w:r w:rsidRPr="003E4F42">
        <w:rPr>
          <w:rFonts w:ascii="Century" w:hAnsi="Century" w:cs="Miriam" w:hint="cs"/>
          <w:b/>
          <w:spacing w:val="0"/>
          <w:sz w:val="22"/>
          <w:szCs w:val="24"/>
          <w:rtl/>
        </w:rPr>
        <w:t>לתקן</w:t>
      </w:r>
      <w:r w:rsidRPr="003E4F42">
        <w:rPr>
          <w:rFonts w:ascii="Century" w:hAnsi="Century" w:hint="cs"/>
          <w:sz w:val="22"/>
          <w:rtl/>
        </w:rPr>
        <w:t xml:space="preserve"> פגמים כאלה שכבר אירעו (להבדיל ממניעתם מכאן והלאה).</w:t>
      </w:r>
      <w:r w:rsidRPr="003E4F42">
        <w:rPr>
          <w:rFonts w:hint="cs"/>
          <w:rtl/>
        </w:rPr>
        <w:t xml:space="preserve"> בהקשר זה, קביעה כי הוראות התיקון יחולו מידית לא תאפשר גם גיבוש הסדרים מינהליים מתאימים (ראו את האמור בתצהיר התשובה מטעם משיבי הממשלה, סעיף 80), באופן שעשוי להעמיק את הפגיעה בשוויון בהתמודדות בבחירות המקומיות. </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הנה כי כן, תיקון מס' 53 מגלם שינוי בעצם פעולת מינוי הוועדה הממונה, הוא משנה את מערך האיזונים שניצב בבסיס מוסד זה, ולכן תחולתו על ועדות ממונות קיימות משווה תוצאות משפטיות חדשות לעצם פעולת מינוין (השוו לדברי השופט </w:t>
      </w:r>
      <w:r w:rsidRPr="003E4F42">
        <w:rPr>
          <w:rFonts w:ascii="Century" w:hAnsi="Century" w:cs="Miriam" w:hint="cs"/>
          <w:b/>
          <w:spacing w:val="0"/>
          <w:sz w:val="22"/>
          <w:szCs w:val="24"/>
          <w:rtl/>
        </w:rPr>
        <w:t>א' ברק</w:t>
      </w:r>
      <w:r w:rsidRPr="003E4F42">
        <w:rPr>
          <w:rFonts w:ascii="Century" w:hAnsi="Century" w:hint="cs"/>
          <w:sz w:val="22"/>
          <w:rtl/>
        </w:rPr>
        <w:t xml:space="preserve"> בעניין </w:t>
      </w:r>
      <w:r w:rsidRPr="003E4F42">
        <w:rPr>
          <w:rFonts w:ascii="Century" w:hAnsi="Century" w:cs="Miriam" w:hint="cs"/>
          <w:b/>
          <w:spacing w:val="0"/>
          <w:sz w:val="22"/>
          <w:szCs w:val="24"/>
          <w:rtl/>
        </w:rPr>
        <w:t>ארביב</w:t>
      </w:r>
      <w:r w:rsidRPr="003E4F42">
        <w:rPr>
          <w:rFonts w:ascii="Century" w:hAnsi="Century" w:hint="cs"/>
          <w:sz w:val="22"/>
          <w:rtl/>
        </w:rPr>
        <w:t>, בעמ' 780-779</w:t>
      </w:r>
      <w:r w:rsidRPr="003E4F42">
        <w:rPr>
          <w:rFonts w:hint="cs"/>
          <w:rtl/>
        </w:rPr>
        <w:t>). זאת ועוד, החלתו המידית של תיקון מס' 53 מקנה, כפי שכבר ציינתי, יתרון לנציגיו של השלטון המרכזי בבחירות המקומיות הקרובות. בהקשר זה כבר נפסק לא אחת כי בכל הנוגע לפרשנות חקיקה שעוסקת בבחירות המקומיות, "</w:t>
      </w:r>
      <w:r w:rsidRPr="003E4F42">
        <w:rPr>
          <w:rFonts w:hint="eastAsia"/>
          <w:rtl/>
        </w:rPr>
        <w:t>בבחירה</w:t>
      </w:r>
      <w:r w:rsidRPr="003E4F42">
        <w:rPr>
          <w:rtl/>
        </w:rPr>
        <w:t xml:space="preserve"> </w:t>
      </w:r>
      <w:r w:rsidRPr="003E4F42">
        <w:rPr>
          <w:rFonts w:hint="eastAsia"/>
          <w:rtl/>
        </w:rPr>
        <w:t>בין</w:t>
      </w:r>
      <w:r w:rsidRPr="003E4F42">
        <w:rPr>
          <w:rtl/>
        </w:rPr>
        <w:t xml:space="preserve"> </w:t>
      </w:r>
      <w:r w:rsidRPr="003E4F42">
        <w:rPr>
          <w:rFonts w:hint="eastAsia"/>
          <w:rtl/>
        </w:rPr>
        <w:t>כמה</w:t>
      </w:r>
      <w:r w:rsidRPr="003E4F42">
        <w:rPr>
          <w:rtl/>
        </w:rPr>
        <w:t xml:space="preserve"> </w:t>
      </w:r>
      <w:r w:rsidRPr="003E4F42">
        <w:rPr>
          <w:rFonts w:hint="eastAsia"/>
          <w:rtl/>
        </w:rPr>
        <w:t>אפשרויות</w:t>
      </w:r>
      <w:r w:rsidRPr="003E4F42">
        <w:rPr>
          <w:rtl/>
        </w:rPr>
        <w:t xml:space="preserve"> </w:t>
      </w:r>
      <w:r w:rsidRPr="003E4F42">
        <w:rPr>
          <w:rFonts w:hint="eastAsia"/>
          <w:rtl/>
        </w:rPr>
        <w:t>פרשניות</w:t>
      </w:r>
      <w:r w:rsidRPr="003E4F42">
        <w:rPr>
          <w:rtl/>
        </w:rPr>
        <w:t xml:space="preserve">, </w:t>
      </w:r>
      <w:r w:rsidRPr="003E4F42">
        <w:rPr>
          <w:rFonts w:hint="eastAsia"/>
          <w:rtl/>
        </w:rPr>
        <w:t>העדיפה</w:t>
      </w:r>
      <w:r w:rsidRPr="003E4F42">
        <w:rPr>
          <w:rtl/>
        </w:rPr>
        <w:t xml:space="preserve"> </w:t>
      </w:r>
      <w:r w:rsidRPr="003E4F42">
        <w:rPr>
          <w:rFonts w:hint="eastAsia"/>
          <w:rtl/>
        </w:rPr>
        <w:t>הפסיקה</w:t>
      </w:r>
      <w:r w:rsidRPr="003E4F42">
        <w:rPr>
          <w:rtl/>
        </w:rPr>
        <w:t xml:space="preserve"> </w:t>
      </w:r>
      <w:r w:rsidRPr="003E4F42">
        <w:rPr>
          <w:rFonts w:hint="eastAsia"/>
          <w:rtl/>
        </w:rPr>
        <w:t>ליתן</w:t>
      </w:r>
      <w:r w:rsidRPr="003E4F42">
        <w:rPr>
          <w:rtl/>
        </w:rPr>
        <w:t xml:space="preserve"> </w:t>
      </w:r>
      <w:r w:rsidRPr="003E4F42">
        <w:rPr>
          <w:rFonts w:hint="eastAsia"/>
          <w:rtl/>
        </w:rPr>
        <w:t>את</w:t>
      </w:r>
      <w:r w:rsidRPr="003E4F42">
        <w:rPr>
          <w:rtl/>
        </w:rPr>
        <w:t xml:space="preserve"> </w:t>
      </w:r>
      <w:r w:rsidRPr="003E4F42">
        <w:rPr>
          <w:rFonts w:hint="eastAsia"/>
          <w:rtl/>
        </w:rPr>
        <w:t>הבכורה</w:t>
      </w:r>
      <w:r w:rsidRPr="003E4F42">
        <w:rPr>
          <w:rtl/>
        </w:rPr>
        <w:t xml:space="preserve"> </w:t>
      </w:r>
      <w:r w:rsidRPr="003E4F42">
        <w:rPr>
          <w:rFonts w:hint="eastAsia"/>
          <w:rtl/>
        </w:rPr>
        <w:t>לאפשרות</w:t>
      </w:r>
      <w:r w:rsidRPr="003E4F42">
        <w:rPr>
          <w:rtl/>
        </w:rPr>
        <w:t xml:space="preserve"> </w:t>
      </w:r>
      <w:r w:rsidRPr="003E4F42">
        <w:rPr>
          <w:rFonts w:hint="eastAsia"/>
          <w:rtl/>
        </w:rPr>
        <w:t>השומרת</w:t>
      </w:r>
      <w:r w:rsidRPr="003E4F42">
        <w:rPr>
          <w:rtl/>
        </w:rPr>
        <w:t xml:space="preserve"> </w:t>
      </w:r>
      <w:r w:rsidRPr="003E4F42">
        <w:rPr>
          <w:rFonts w:hint="eastAsia"/>
          <w:rtl/>
        </w:rPr>
        <w:t>על</w:t>
      </w:r>
      <w:r w:rsidRPr="003E4F42">
        <w:rPr>
          <w:rtl/>
        </w:rPr>
        <w:t xml:space="preserve"> </w:t>
      </w:r>
      <w:r w:rsidRPr="003E4F42">
        <w:rPr>
          <w:rFonts w:hint="eastAsia"/>
          <w:rtl/>
        </w:rPr>
        <w:t>האוטונומיה</w:t>
      </w:r>
      <w:r w:rsidRPr="003E4F42">
        <w:rPr>
          <w:rtl/>
        </w:rPr>
        <w:t xml:space="preserve"> </w:t>
      </w:r>
      <w:r w:rsidRPr="003E4F42">
        <w:rPr>
          <w:rFonts w:hint="eastAsia"/>
          <w:rtl/>
        </w:rPr>
        <w:t>של</w:t>
      </w:r>
      <w:r w:rsidRPr="003E4F42">
        <w:rPr>
          <w:rtl/>
        </w:rPr>
        <w:t xml:space="preserve"> </w:t>
      </w:r>
      <w:r w:rsidRPr="003E4F42">
        <w:rPr>
          <w:rFonts w:hint="eastAsia"/>
          <w:rtl/>
        </w:rPr>
        <w:t>הרשות</w:t>
      </w:r>
      <w:r w:rsidRPr="003E4F42">
        <w:rPr>
          <w:rtl/>
        </w:rPr>
        <w:t xml:space="preserve"> </w:t>
      </w:r>
      <w:r w:rsidRPr="003E4F42">
        <w:rPr>
          <w:rFonts w:hint="eastAsia"/>
          <w:rtl/>
        </w:rPr>
        <w:t>המקומית</w:t>
      </w:r>
      <w:r w:rsidRPr="003E4F42">
        <w:rPr>
          <w:rtl/>
        </w:rPr>
        <w:t xml:space="preserve"> </w:t>
      </w:r>
      <w:r w:rsidRPr="003E4F42">
        <w:rPr>
          <w:rFonts w:hint="eastAsia"/>
          <w:rtl/>
        </w:rPr>
        <w:t>מפני</w:t>
      </w:r>
      <w:r w:rsidRPr="003E4F42">
        <w:rPr>
          <w:rtl/>
        </w:rPr>
        <w:t xml:space="preserve"> </w:t>
      </w:r>
      <w:r w:rsidRPr="003E4F42">
        <w:rPr>
          <w:rFonts w:hint="eastAsia"/>
          <w:rtl/>
        </w:rPr>
        <w:t>התערבות</w:t>
      </w:r>
      <w:r w:rsidRPr="003E4F42">
        <w:rPr>
          <w:rtl/>
        </w:rPr>
        <w:t xml:space="preserve"> </w:t>
      </w:r>
      <w:r w:rsidRPr="003E4F42">
        <w:rPr>
          <w:rFonts w:hint="eastAsia"/>
          <w:rtl/>
        </w:rPr>
        <w:t>של</w:t>
      </w:r>
      <w:r w:rsidRPr="003E4F42">
        <w:rPr>
          <w:rtl/>
        </w:rPr>
        <w:t xml:space="preserve"> </w:t>
      </w:r>
      <w:r w:rsidRPr="003E4F42">
        <w:rPr>
          <w:rFonts w:hint="eastAsia"/>
          <w:rtl/>
        </w:rPr>
        <w:t>השלטון</w:t>
      </w:r>
      <w:r w:rsidRPr="003E4F42">
        <w:rPr>
          <w:rtl/>
        </w:rPr>
        <w:t xml:space="preserve"> </w:t>
      </w:r>
      <w:r w:rsidRPr="003E4F42">
        <w:rPr>
          <w:rFonts w:hint="eastAsia"/>
          <w:rtl/>
        </w:rPr>
        <w:t>המרכזי</w:t>
      </w:r>
      <w:r w:rsidRPr="003E4F42">
        <w:rPr>
          <w:rFonts w:hint="cs"/>
          <w:rtl/>
        </w:rPr>
        <w:t xml:space="preserve">" (בג"ץ 4790/14 </w:t>
      </w:r>
      <w:r w:rsidRPr="003E4F42">
        <w:rPr>
          <w:rFonts w:ascii="Century" w:hAnsi="Century" w:cs="Miriam" w:hint="cs"/>
          <w:b/>
          <w:spacing w:val="0"/>
          <w:sz w:val="22"/>
          <w:szCs w:val="24"/>
          <w:rtl/>
        </w:rPr>
        <w:t xml:space="preserve">יהדות התורה </w:t>
      </w:r>
      <w:r w:rsidRPr="003E4F42">
        <w:rPr>
          <w:rFonts w:ascii="Century" w:hAnsi="Century" w:cs="Miriam"/>
          <w:b/>
          <w:spacing w:val="0"/>
          <w:sz w:val="22"/>
          <w:szCs w:val="24"/>
          <w:rtl/>
        </w:rPr>
        <w:t>–</w:t>
      </w:r>
      <w:r w:rsidRPr="003E4F42">
        <w:rPr>
          <w:rFonts w:ascii="Century" w:hAnsi="Century" w:cs="Miriam" w:hint="cs"/>
          <w:b/>
          <w:spacing w:val="0"/>
          <w:sz w:val="22"/>
          <w:szCs w:val="24"/>
          <w:rtl/>
        </w:rPr>
        <w:t xml:space="preserve"> אגודת ישראל </w:t>
      </w:r>
      <w:r w:rsidRPr="003E4F42">
        <w:rPr>
          <w:rFonts w:ascii="Century" w:hAnsi="Century" w:cs="Miriam"/>
          <w:b/>
          <w:spacing w:val="0"/>
          <w:sz w:val="22"/>
          <w:szCs w:val="24"/>
          <w:rtl/>
        </w:rPr>
        <w:t>–</w:t>
      </w:r>
      <w:r w:rsidRPr="003E4F42">
        <w:rPr>
          <w:rFonts w:ascii="Century" w:hAnsi="Century" w:cs="Miriam" w:hint="cs"/>
          <w:b/>
          <w:spacing w:val="0"/>
          <w:sz w:val="22"/>
          <w:szCs w:val="24"/>
          <w:rtl/>
        </w:rPr>
        <w:t xml:space="preserve"> דגל התורה נ' השר לשירותי דת</w:t>
      </w:r>
      <w:r w:rsidRPr="003E4F42">
        <w:rPr>
          <w:rFonts w:ascii="Century" w:hAnsi="Century" w:hint="cs"/>
          <w:sz w:val="22"/>
          <w:rtl/>
        </w:rPr>
        <w:t xml:space="preserve">, פסקה 40 (19.10.2014); עניין </w:t>
      </w:r>
      <w:r w:rsidRPr="003E4F42">
        <w:rPr>
          <w:rFonts w:ascii="Century" w:hAnsi="Century" w:cs="Miriam" w:hint="cs"/>
          <w:b/>
          <w:spacing w:val="0"/>
          <w:sz w:val="22"/>
          <w:szCs w:val="24"/>
          <w:rtl/>
        </w:rPr>
        <w:t>חביש</w:t>
      </w:r>
      <w:r w:rsidRPr="003E4F42">
        <w:rPr>
          <w:rFonts w:ascii="Century" w:hAnsi="Century" w:hint="cs"/>
          <w:sz w:val="22"/>
          <w:rtl/>
        </w:rPr>
        <w:t>, פסקה 60</w:t>
      </w:r>
      <w:r w:rsidRPr="003E4F42">
        <w:rPr>
          <w:rFonts w:hint="cs"/>
          <w:rtl/>
        </w:rPr>
        <w:t xml:space="preserve">). הקשיים שהובאו לעיל מחלישים עד מאוד את ההצדקה לתחולתו הרטרוספקטיבית של התיקון (ראו והשוו באופן כללי: עניין </w:t>
      </w:r>
      <w:r w:rsidRPr="003E4F42">
        <w:rPr>
          <w:rFonts w:ascii="Century" w:hAnsi="Century" w:cs="Miriam" w:hint="cs"/>
          <w:b/>
          <w:spacing w:val="0"/>
          <w:sz w:val="22"/>
          <w:szCs w:val="24"/>
          <w:rtl/>
        </w:rPr>
        <w:t>ידיד</w:t>
      </w:r>
      <w:r w:rsidRPr="003E4F42">
        <w:rPr>
          <w:rFonts w:ascii="Century" w:hAnsi="Century" w:hint="cs"/>
          <w:sz w:val="22"/>
          <w:rtl/>
        </w:rPr>
        <w:t xml:space="preserve">, פסקה 31; </w:t>
      </w:r>
      <w:r w:rsidRPr="003E4F42">
        <w:rPr>
          <w:rFonts w:ascii="Century" w:hAnsi="Century" w:hint="eastAsia"/>
          <w:sz w:val="22"/>
          <w:rtl/>
        </w:rPr>
        <w:t>בג</w:t>
      </w:r>
      <w:r w:rsidRPr="003E4F42">
        <w:rPr>
          <w:rFonts w:ascii="Century" w:hAnsi="Century"/>
          <w:sz w:val="22"/>
          <w:rtl/>
        </w:rPr>
        <w:t>"</w:t>
      </w:r>
      <w:r w:rsidRPr="003E4F42">
        <w:rPr>
          <w:rFonts w:ascii="Century" w:hAnsi="Century" w:hint="eastAsia"/>
          <w:sz w:val="22"/>
          <w:rtl/>
        </w:rPr>
        <w:t>ץ</w:t>
      </w:r>
      <w:r w:rsidRPr="003E4F42">
        <w:rPr>
          <w:rFonts w:ascii="Century" w:hAnsi="Century"/>
          <w:sz w:val="22"/>
          <w:rtl/>
        </w:rPr>
        <w:t xml:space="preserve"> 1149/95 </w:t>
      </w:r>
      <w:r w:rsidRPr="003E4F42">
        <w:rPr>
          <w:rFonts w:ascii="Century" w:hAnsi="Century" w:cs="Miriam" w:hint="eastAsia"/>
          <w:b/>
          <w:spacing w:val="0"/>
          <w:sz w:val="22"/>
          <w:szCs w:val="24"/>
          <w:rtl/>
        </w:rPr>
        <w:t>ארקו</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תעשיות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חשמל</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ראש</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עיריית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ראשון</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לציון</w:t>
      </w:r>
      <w:r w:rsidRPr="003E4F42">
        <w:rPr>
          <w:rFonts w:ascii="Century" w:hAnsi="Century"/>
          <w:sz w:val="22"/>
          <w:rtl/>
        </w:rPr>
        <w:t xml:space="preserve">, </w:t>
      </w:r>
      <w:r w:rsidRPr="003E4F42">
        <w:rPr>
          <w:rFonts w:ascii="Century" w:hAnsi="Century" w:hint="eastAsia"/>
          <w:sz w:val="22"/>
          <w:rtl/>
        </w:rPr>
        <w:t>פ</w:t>
      </w:r>
      <w:r w:rsidRPr="003E4F42">
        <w:rPr>
          <w:rFonts w:ascii="Century" w:hAnsi="Century"/>
          <w:sz w:val="22"/>
          <w:rtl/>
        </w:rPr>
        <w:t>"</w:t>
      </w:r>
      <w:r w:rsidRPr="003E4F42">
        <w:rPr>
          <w:rFonts w:ascii="Century" w:hAnsi="Century" w:hint="eastAsia"/>
          <w:sz w:val="22"/>
          <w:rtl/>
        </w:rPr>
        <w:t>ד</w:t>
      </w:r>
      <w:r w:rsidRPr="003E4F42">
        <w:rPr>
          <w:rFonts w:ascii="Century" w:hAnsi="Century"/>
          <w:sz w:val="22"/>
          <w:rtl/>
        </w:rPr>
        <w:t xml:space="preserve"> </w:t>
      </w:r>
      <w:r w:rsidRPr="003E4F42">
        <w:rPr>
          <w:rFonts w:ascii="Century" w:hAnsi="Century" w:hint="eastAsia"/>
          <w:sz w:val="22"/>
          <w:rtl/>
        </w:rPr>
        <w:t>נד</w:t>
      </w:r>
      <w:r w:rsidRPr="003E4F42">
        <w:rPr>
          <w:rFonts w:ascii="Century" w:hAnsi="Century"/>
          <w:sz w:val="22"/>
          <w:rtl/>
        </w:rPr>
        <w:t>(5) 547, 573 (2000)</w:t>
      </w:r>
      <w:r w:rsidRPr="003E4F42">
        <w:rPr>
          <w:rFonts w:hint="cs"/>
          <w:rtl/>
        </w:rPr>
        <w:t>).</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 xml:space="preserve">בשולי הדברים אציין כי ממד רטרוספקטיבי זה מתקיים בעיקר כלפי ועדות שמונו ביישובים שבהם עתידות הבחירות להתקיים בחודש אוקטובר הקרוב. ממד זה נחלש ביחס לוועדה הממונה בצור הדסה, לשם ההדגמה, שבחירות לראשות המועצה המקומית שם עתידות להתקיים בשנת 2027. על אף שגם ביחס לוועדה זו משנה התיקון את משמעות המינוי עצמו, הרי שפעולות שתבצע הוועדה בסמוך למועד הבחירות יוכלו להיבחן גם בראי אפשרותם של חברי הוועדה להתמודד בבחירות עצמן (וכך ידעו גם גורמים פוליטיים מקומיים). ויודגש כי ההתייחסות לצור הדסה הינה כדוגמה בלבד, וברי כי איני מביע עמדה לגופה של פעילות הוועדה הממונה שם (או לחוקתיותו של תיקון מס' 53, סוגיה שכאמור אינה מחייבת את הכרעתנו בעתירות דנן). </w:t>
      </w: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t>"שינוי כללי המשחק תוך כדי המשחק"</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rPr>
          <w:rFonts w:ascii="Century" w:hAnsi="Century"/>
          <w:sz w:val="22"/>
        </w:rPr>
      </w:pPr>
      <w:r w:rsidRPr="003E4F42">
        <w:rPr>
          <w:rFonts w:hint="cs"/>
          <w:rtl/>
        </w:rPr>
        <w:t xml:space="preserve">לצדם של ההיבטים הרטרוספקטיביים שתוארו לעיל, החלופה הפרשנית בדבר תחולה מידית של הוראות התיקון מעוררת היבט רטרוספקטיבי נוסף שבא לידי ביטוי בשינוי מהותי בדיני הבחירות לרשויות המקומיות </w:t>
      </w:r>
      <w:r w:rsidRPr="003E4F42">
        <w:rPr>
          <w:rFonts w:ascii="Century" w:hAnsi="Century" w:cs="Miriam" w:hint="cs"/>
          <w:b/>
          <w:spacing w:val="0"/>
          <w:sz w:val="22"/>
          <w:szCs w:val="24"/>
          <w:rtl/>
        </w:rPr>
        <w:t>לאחר תחילתה של תקופת הבחירות</w:t>
      </w:r>
      <w:r w:rsidRPr="003E4F42">
        <w:rPr>
          <w:rFonts w:ascii="Century" w:hAnsi="Century" w:hint="cs"/>
          <w:sz w:val="22"/>
          <w:rtl/>
        </w:rPr>
        <w:t xml:space="preserve">. </w:t>
      </w:r>
    </w:p>
    <w:p w:rsidR="001E6B43" w:rsidRPr="003E4F42" w:rsidRDefault="001E6B43" w:rsidP="001E6B43">
      <w:pPr>
        <w:pStyle w:val="Ruller4"/>
        <w:numPr>
          <w:ilvl w:val="0"/>
          <w:numId w:val="0"/>
        </w:numPr>
        <w:rPr>
          <w:rFonts w:ascii="Century" w:hAnsi="Century"/>
          <w:sz w:val="22"/>
        </w:rPr>
      </w:pPr>
    </w:p>
    <w:p w:rsidR="001E6B43" w:rsidRPr="003E4F42" w:rsidRDefault="001E6B43" w:rsidP="001E6B43">
      <w:pPr>
        <w:pStyle w:val="Ruller4"/>
        <w:rPr>
          <w:rtl/>
        </w:rPr>
      </w:pPr>
      <w:r w:rsidRPr="003E4F42">
        <w:rPr>
          <w:rFonts w:ascii="Century" w:hAnsi="Century" w:hint="cs"/>
          <w:sz w:val="22"/>
          <w:rtl/>
        </w:rPr>
        <w:t xml:space="preserve">אין זו הפעם הראשונה שהובאה לפני בית משפט זה סוגיית שינוי כללי הבחירות תוך כדי תקופת הבחירות. כך, נקבע בעבר כי </w:t>
      </w:r>
      <w:r w:rsidRPr="003E4F42">
        <w:rPr>
          <w:rFonts w:hint="cs"/>
          <w:rtl/>
        </w:rPr>
        <w:t xml:space="preserve">"כלל גדול הוא בדיני בחירות כי יש להיערך אליהן מראש ובזמן; יש להבטיח האפשרות הממשית של הגשמת העיקרון כי לכל קול יינתן קול. על-כן חייבים לקבוע מראש 'כללי משחק' עקביים" (בג"ץ 65/05 </w:t>
      </w:r>
      <w:r w:rsidRPr="003E4F42">
        <w:rPr>
          <w:rFonts w:ascii="Century" w:hAnsi="Century" w:cs="Miriam" w:hint="cs"/>
          <w:b/>
          <w:spacing w:val="0"/>
          <w:szCs w:val="24"/>
          <w:rtl/>
        </w:rPr>
        <w:t>מוסלח נ' ראש-ממשלת ישראל</w:t>
      </w:r>
      <w:r w:rsidRPr="003E4F42">
        <w:rPr>
          <w:rFonts w:ascii="Century" w:hAnsi="Century" w:hint="cs"/>
          <w:rtl/>
        </w:rPr>
        <w:t>, פ"ד נט(4) 553, 556 (2005)</w:t>
      </w:r>
      <w:r w:rsidRPr="003E4F42">
        <w:rPr>
          <w:rFonts w:hint="cs"/>
          <w:rtl/>
        </w:rPr>
        <w:t xml:space="preserve">). שינוי בכללי הבחירות בתוך תקופת הבחירות "מכניס אנדרלמוסיה" במערכת הבחירות והוא עלול לפגום בלגיטימיות התוצאות (בג"ץ 606/01 </w:t>
      </w:r>
      <w:r w:rsidRPr="003E4F42">
        <w:rPr>
          <w:rFonts w:ascii="Century" w:hAnsi="Century" w:cs="Miriam" w:hint="cs"/>
          <w:b/>
          <w:spacing w:val="0"/>
          <w:szCs w:val="24"/>
          <w:rtl/>
        </w:rPr>
        <w:t xml:space="preserve">ברקה נ' ועדת הבחירות המרכזית לכנסת ה-16 ולראש הממשלה, </w:t>
      </w:r>
      <w:r w:rsidRPr="003E4F42">
        <w:rPr>
          <w:rFonts w:ascii="Century" w:hAnsi="Century" w:hint="cs"/>
          <w:rtl/>
        </w:rPr>
        <w:t xml:space="preserve">פ"ד נה(2) 577, 580 (2001)). משכך, מתחייב כי </w:t>
      </w:r>
      <w:r w:rsidRPr="003E4F42">
        <w:rPr>
          <w:rFonts w:hint="cs"/>
          <w:rtl/>
        </w:rPr>
        <w:t xml:space="preserve">כללי הבחירות יהיו יציבים, עקביים ודאיים וברורים </w:t>
      </w:r>
      <w:r w:rsidRPr="003E4F42">
        <w:rPr>
          <w:rtl/>
        </w:rPr>
        <w:t>–</w:t>
      </w:r>
      <w:r w:rsidRPr="003E4F42">
        <w:rPr>
          <w:rFonts w:hint="cs"/>
          <w:rtl/>
        </w:rPr>
        <w:t xml:space="preserve"> וזאת כחלק מהבטחת הלגיטימציה של הליך הבחירות כולו. שינויים מהותיים בכללים אלה במהלך תקופת הבחירות עלולים לפגוע באמון הציבור במערכות השלטון באופן שחותר תחת עקרונות דמוקרטיים בסיסיים (ראו והשוו: עניין </w:t>
      </w:r>
      <w:r w:rsidRPr="003E4F42">
        <w:rPr>
          <w:rFonts w:ascii="Century" w:hAnsi="Century" w:cs="Miriam" w:hint="cs"/>
          <w:b/>
          <w:spacing w:val="0"/>
          <w:sz w:val="22"/>
          <w:szCs w:val="24"/>
          <w:rtl/>
        </w:rPr>
        <w:t>ממשלת החילופים</w:t>
      </w:r>
      <w:r w:rsidRPr="003E4F42">
        <w:rPr>
          <w:rFonts w:ascii="Century" w:hAnsi="Century" w:hint="cs"/>
          <w:sz w:val="22"/>
          <w:rtl/>
        </w:rPr>
        <w:t xml:space="preserve">, פסקה 16 לפסק הדין של הנשיאה </w:t>
      </w:r>
      <w:r w:rsidRPr="003E4F42">
        <w:rPr>
          <w:rFonts w:ascii="Century" w:hAnsi="Century" w:cs="Miriam" w:hint="cs"/>
          <w:b/>
          <w:spacing w:val="0"/>
          <w:sz w:val="22"/>
          <w:szCs w:val="24"/>
          <w:rtl/>
        </w:rPr>
        <w:t>א' חיות</w:t>
      </w:r>
      <w:r w:rsidRPr="003E4F42">
        <w:rPr>
          <w:rFonts w:ascii="Century" w:hAnsi="Century" w:hint="cs"/>
          <w:sz w:val="22"/>
          <w:rtl/>
        </w:rPr>
        <w:t xml:space="preserve">; כן ראו פסקה 122 לפסק הדין של המשנה לנשיאה (בדימ') </w:t>
      </w:r>
      <w:r w:rsidRPr="003E4F42">
        <w:rPr>
          <w:rFonts w:ascii="Century" w:hAnsi="Century" w:cs="Miriam" w:hint="cs"/>
          <w:b/>
          <w:spacing w:val="0"/>
          <w:sz w:val="22"/>
          <w:szCs w:val="24"/>
          <w:rtl/>
        </w:rPr>
        <w:t>ח' מלצר</w:t>
      </w:r>
      <w:r w:rsidRPr="003E4F42">
        <w:rPr>
          <w:rFonts w:hint="cs"/>
          <w:rtl/>
        </w:rPr>
        <w:t xml:space="preserve">). לכך יש להוסיף כי שינוי כללי הבחירות בתקופת הבחירות פוגע בדיעבד בציפיות השחקנים הפוליטיים ובהתבססותם על הוראות הדין (ראו והשוו: בג"ץ 5846/11 </w:t>
      </w:r>
      <w:r w:rsidRPr="003E4F42">
        <w:rPr>
          <w:rFonts w:ascii="Century" w:hAnsi="Century" w:cs="Miriam" w:hint="cs"/>
          <w:b/>
          <w:spacing w:val="0"/>
          <w:sz w:val="22"/>
          <w:szCs w:val="24"/>
          <w:rtl/>
        </w:rPr>
        <w:t>קעדאן נ' מדינת ישראל</w:t>
      </w:r>
      <w:r w:rsidRPr="003E4F42">
        <w:rPr>
          <w:rFonts w:ascii="Century" w:hAnsi="Century" w:hint="cs"/>
          <w:sz w:val="22"/>
          <w:rtl/>
        </w:rPr>
        <w:t xml:space="preserve"> (26.9.2011)</w:t>
      </w:r>
      <w:r w:rsidRPr="003E4F42">
        <w:rPr>
          <w:rFonts w:hint="cs"/>
          <w:rtl/>
        </w:rPr>
        <w:t xml:space="preserve">; בג"ץ 2060/91 </w:t>
      </w:r>
      <w:r w:rsidRPr="003E4F42">
        <w:rPr>
          <w:rFonts w:ascii="Century" w:hAnsi="Century" w:cs="Miriam" w:hint="cs"/>
          <w:b/>
          <w:spacing w:val="0"/>
          <w:szCs w:val="24"/>
          <w:rtl/>
        </w:rPr>
        <w:t>כהן נ' יו"ר הכנסת</w:t>
      </w:r>
      <w:r w:rsidRPr="003E4F42">
        <w:rPr>
          <w:rFonts w:ascii="Century" w:hAnsi="Century" w:hint="cs"/>
          <w:rtl/>
        </w:rPr>
        <w:t>, פ"ד מו(4) 319, 329-328 (1992)</w:t>
      </w:r>
      <w:r w:rsidRPr="003E4F42">
        <w:rPr>
          <w:rFonts w:hint="cs"/>
          <w:rtl/>
        </w:rPr>
        <w:t xml:space="preserve">). נוכח האמור, ברי כי חריגה מהכלל תיעשה במקרים חריגים וקיצוניים (ראו והשוו: בג"ץ 2618/22 </w:t>
      </w:r>
      <w:r w:rsidRPr="003E4F42">
        <w:rPr>
          <w:rFonts w:ascii="Century" w:hAnsi="Century" w:cs="Miriam" w:hint="eastAsia"/>
          <w:b/>
          <w:spacing w:val="0"/>
          <w:sz w:val="22"/>
          <w:szCs w:val="24"/>
          <w:rtl/>
        </w:rPr>
        <w:t>פרי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דוד</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בע</w:t>
      </w:r>
      <w:r w:rsidRPr="003E4F42">
        <w:rPr>
          <w:rFonts w:ascii="Century" w:hAnsi="Century" w:cs="Miriam"/>
          <w:b/>
          <w:spacing w:val="0"/>
          <w:sz w:val="22"/>
          <w:szCs w:val="24"/>
          <w:rtl/>
        </w:rPr>
        <w:t>"</w:t>
      </w:r>
      <w:r w:rsidRPr="003E4F42">
        <w:rPr>
          <w:rFonts w:ascii="Century" w:hAnsi="Century" w:cs="Miriam" w:hint="eastAsia"/>
          <w:b/>
          <w:spacing w:val="0"/>
          <w:sz w:val="22"/>
          <w:szCs w:val="24"/>
          <w:rtl/>
        </w:rPr>
        <w:t>מ</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המועצה</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לייצור</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צמחים</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ולשיווקם</w:t>
      </w:r>
      <w:r w:rsidRPr="003E4F42">
        <w:rPr>
          <w:rFonts w:ascii="Century" w:hAnsi="Century" w:hint="cs"/>
          <w:sz w:val="22"/>
          <w:rtl/>
        </w:rPr>
        <w:t>, פסקה 12 (18.5.2022)</w:t>
      </w:r>
      <w:r w:rsidRPr="003E4F42">
        <w:rPr>
          <w:rFonts w:hint="cs"/>
          <w:rtl/>
        </w:rPr>
        <w:t xml:space="preserve">). </w:t>
      </w:r>
    </w:p>
    <w:p w:rsidR="001E6B43" w:rsidRPr="003E4F42" w:rsidRDefault="001E6B43" w:rsidP="001E6B43">
      <w:pPr>
        <w:pStyle w:val="Ruller41"/>
        <w:rPr>
          <w:rtl/>
        </w:rPr>
      </w:pPr>
    </w:p>
    <w:p w:rsidR="001E6B43" w:rsidRPr="003E4F42" w:rsidRDefault="001E6B43" w:rsidP="00C94FCF">
      <w:pPr>
        <w:pStyle w:val="Ruller4"/>
      </w:pPr>
      <w:r w:rsidRPr="003E4F42">
        <w:rPr>
          <w:rFonts w:hint="cs"/>
          <w:rtl/>
        </w:rPr>
        <w:t xml:space="preserve">פסק הדין הרלוונטי לעניין תחילת תקופת הבחירות ברשויות המקומיות הוא פסק הדין בעניין </w:t>
      </w:r>
      <w:r w:rsidRPr="003E4F42">
        <w:rPr>
          <w:rFonts w:ascii="Century" w:hAnsi="Century" w:cs="Miriam" w:hint="cs"/>
          <w:b/>
          <w:spacing w:val="0"/>
          <w:sz w:val="22"/>
          <w:szCs w:val="24"/>
          <w:rtl/>
        </w:rPr>
        <w:t>לוינטל</w:t>
      </w:r>
      <w:r w:rsidRPr="003E4F42">
        <w:rPr>
          <w:rFonts w:ascii="Century" w:hAnsi="Century" w:hint="cs"/>
          <w:sz w:val="22"/>
          <w:rtl/>
        </w:rPr>
        <w:t xml:space="preserve">. באותו עניין, </w:t>
      </w:r>
      <w:r w:rsidRPr="003E4F42">
        <w:rPr>
          <w:rFonts w:ascii="Century" w:hAnsi="Century" w:hint="cs"/>
          <w:rtl/>
        </w:rPr>
        <w:t xml:space="preserve">נדונה חוקיות החלטת שר הפנים, שהתקבלה כשלושה חודשים לפני הבחירות לרשויות המקומיות, שבה קבע מפתח אחיד לקביעת מספר חברי המועצה ברשויות המקומיות. בית המשפט הורה כי ההחלטה לא תחול על הבחירות הקרובות לרשויות המקומיות וזאת נוכח פגם שנפל בעיתוי קבלת ההחלטה. כך, נקבע כי היום הקובע שבו נורתה "ירית הפתיחה" של מערכת הבחירות לרשויות המקומיות הוא יום השליפה הראשונה של פנקס הבוחרים </w:t>
      </w:r>
      <w:r w:rsidRPr="003E4F42">
        <w:rPr>
          <w:rFonts w:ascii="Century" w:hAnsi="Century"/>
          <w:rtl/>
        </w:rPr>
        <w:t>–</w:t>
      </w:r>
      <w:r w:rsidRPr="003E4F42">
        <w:rPr>
          <w:rFonts w:ascii="Century" w:hAnsi="Century" w:hint="cs"/>
          <w:rtl/>
        </w:rPr>
        <w:t xml:space="preserve"> 150 ימים קודם למועד </w:t>
      </w:r>
      <w:r w:rsidRPr="003E4F42">
        <w:rPr>
          <w:rFonts w:ascii="Century" w:hAnsi="Century" w:hint="cs"/>
          <w:rtl/>
        </w:rPr>
        <w:lastRenderedPageBreak/>
        <w:t xml:space="preserve">הבחירות (שם, פסקה 13 לפסק הדין של השופט </w:t>
      </w:r>
      <w:r w:rsidRPr="003E4F42">
        <w:rPr>
          <w:rFonts w:ascii="Century" w:hAnsi="Century" w:cs="Miriam" w:hint="cs"/>
          <w:b/>
          <w:spacing w:val="0"/>
          <w:szCs w:val="24"/>
          <w:rtl/>
        </w:rPr>
        <w:t>י' דנציגר</w:t>
      </w:r>
      <w:r w:rsidRPr="003E4F42">
        <w:rPr>
          <w:rFonts w:ascii="Century" w:hAnsi="Century" w:hint="cs"/>
          <w:rtl/>
        </w:rPr>
        <w:t xml:space="preserve">; פסקה 3 לפסק הדין של השופטת </w:t>
      </w:r>
      <w:r w:rsidRPr="003E4F42">
        <w:rPr>
          <w:rFonts w:ascii="Century" w:hAnsi="Century" w:cs="Miriam" w:hint="cs"/>
          <w:b/>
          <w:spacing w:val="0"/>
          <w:szCs w:val="24"/>
          <w:rtl/>
        </w:rPr>
        <w:t>א' חיות</w:t>
      </w:r>
      <w:r w:rsidRPr="003E4F42">
        <w:rPr>
          <w:rFonts w:ascii="Century" w:hAnsi="Century" w:hint="cs"/>
          <w:rtl/>
        </w:rPr>
        <w:t>; סעיף 16 לחוק הבחירות).</w:t>
      </w:r>
      <w:r w:rsidRPr="003E4F42">
        <w:rPr>
          <w:rFonts w:hint="cs"/>
          <w:rtl/>
        </w:rPr>
        <w:t xml:space="preserve"> בית המשפט דחה במפורש טענות שביקשו להפחית מחשיבותו של מועד זה כמו גם טענות שביקשו לטעון כי באותה עת טרם ננקטה היערכות שתושפע מהחלטת השר (שם, פסקה 13 </w:t>
      </w:r>
      <w:r w:rsidRPr="003E4F42">
        <w:rPr>
          <w:rFonts w:ascii="Century" w:hAnsi="Century" w:hint="cs"/>
          <w:rtl/>
        </w:rPr>
        <w:t xml:space="preserve">לפסק הדין של השופט </w:t>
      </w:r>
      <w:r w:rsidRPr="003E4F42">
        <w:rPr>
          <w:rFonts w:ascii="Century" w:hAnsi="Century" w:cs="Miriam" w:hint="cs"/>
          <w:b/>
          <w:spacing w:val="0"/>
          <w:szCs w:val="24"/>
          <w:rtl/>
        </w:rPr>
        <w:t>י' דנציגר</w:t>
      </w:r>
      <w:r w:rsidRPr="003E4F42">
        <w:rPr>
          <w:rFonts w:hint="cs"/>
          <w:rtl/>
        </w:rPr>
        <w:t xml:space="preserve">). הלכה זו תוקפה יפה גם בהליך שלפנינו </w:t>
      </w:r>
      <w:r w:rsidRPr="003E4F42">
        <w:rPr>
          <w:rtl/>
        </w:rPr>
        <w:t>–</w:t>
      </w:r>
      <w:r w:rsidRPr="003E4F42">
        <w:rPr>
          <w:rFonts w:hint="cs"/>
          <w:rtl/>
        </w:rPr>
        <w:t xml:space="preserve"> כפי שנקבע בה, ירית הפתיחה בבחירות לרשויות המקומיות נורתה זה מכבר, 150 ימים לפני הבחירות, ביום </w:t>
      </w:r>
      <w:r w:rsidRPr="003E4F42">
        <w:rPr>
          <w:rFonts w:ascii="Century" w:hAnsi="Century" w:hint="cs"/>
          <w:rtl/>
        </w:rPr>
        <w:t>4.6.2023</w:t>
      </w:r>
      <w:r w:rsidRPr="003E4F42">
        <w:rPr>
          <w:rFonts w:hint="cs"/>
          <w:rtl/>
        </w:rPr>
        <w:t xml:space="preserve">. כך, גם במסגרת הליך חקיקת התיקון הובאה עמדת משרד הפנים, שרואה במועד שנקבע בפסק הדין בעניין </w:t>
      </w:r>
      <w:r w:rsidRPr="003E4F42">
        <w:rPr>
          <w:rFonts w:ascii="Century" w:hAnsi="Century" w:cs="Miriam" w:hint="cs"/>
          <w:b/>
          <w:spacing w:val="0"/>
          <w:sz w:val="22"/>
          <w:szCs w:val="24"/>
          <w:rtl/>
        </w:rPr>
        <w:t>לוינטל</w:t>
      </w:r>
      <w:r w:rsidRPr="003E4F42">
        <w:rPr>
          <w:rFonts w:ascii="Century" w:hAnsi="Century" w:hint="cs"/>
          <w:sz w:val="22"/>
          <w:rtl/>
        </w:rPr>
        <w:t xml:space="preserve"> כ"מועד מנחה" (</w:t>
      </w:r>
      <w:r w:rsidRPr="003E4F42">
        <w:rPr>
          <w:rFonts w:hint="eastAsia"/>
          <w:rtl/>
        </w:rPr>
        <w:t>פרוטוקול</w:t>
      </w:r>
      <w:r w:rsidRPr="003E4F42">
        <w:rPr>
          <w:rtl/>
        </w:rPr>
        <w:t xml:space="preserve"> </w:t>
      </w:r>
      <w:r w:rsidRPr="003E4F42">
        <w:rPr>
          <w:rFonts w:hint="eastAsia"/>
          <w:rtl/>
        </w:rPr>
        <w:t>הישיבה</w:t>
      </w:r>
      <w:r w:rsidRPr="003E4F42">
        <w:rPr>
          <w:rtl/>
        </w:rPr>
        <w:t xml:space="preserve"> </w:t>
      </w:r>
      <w:r w:rsidRPr="003E4F42">
        <w:rPr>
          <w:rFonts w:hint="eastAsia"/>
          <w:rtl/>
        </w:rPr>
        <w:t>מיום</w:t>
      </w:r>
      <w:r w:rsidRPr="003E4F42">
        <w:rPr>
          <w:rtl/>
        </w:rPr>
        <w:t xml:space="preserve"> 29.6.2023</w:t>
      </w:r>
      <w:r w:rsidRPr="003E4F42">
        <w:rPr>
          <w:rFonts w:ascii="Century" w:hAnsi="Century" w:hint="cs"/>
          <w:sz w:val="22"/>
          <w:rtl/>
        </w:rPr>
        <w:t xml:space="preserve">, בעמ' 53). </w:t>
      </w:r>
      <w:r w:rsidRPr="003E4F42">
        <w:rPr>
          <w:rFonts w:hint="cs"/>
          <w:rtl/>
        </w:rPr>
        <w:t>משמעות הדבר שהחלופה הפרשנית בדבר תחולתו המידית של התיקון חורגת מהכלל האמור ומוליכה לשינוי כללי הבחירות תוך כדי הבחירות (וראו גם את האמור לעיל בדבר השלכות פרשנות זו בהיבטי תעמולת בחירות; פסקה</w:t>
      </w:r>
      <w:r w:rsidR="00C94FCF" w:rsidRPr="003E4F42">
        <w:rPr>
          <w:rFonts w:hint="cs"/>
          <w:rtl/>
        </w:rPr>
        <w:t xml:space="preserve"> 49 </w:t>
      </w:r>
      <w:r w:rsidRPr="003E4F42">
        <w:rPr>
          <w:rFonts w:hint="cs"/>
          <w:rtl/>
        </w:rPr>
        <w:t xml:space="preserve">לעיל). </w:t>
      </w:r>
    </w:p>
    <w:p w:rsidR="001E6B43" w:rsidRPr="003E4F42" w:rsidRDefault="001E6B43" w:rsidP="001E6B43">
      <w:pPr>
        <w:pStyle w:val="Ruller4"/>
        <w:numPr>
          <w:ilvl w:val="0"/>
          <w:numId w:val="0"/>
        </w:numPr>
      </w:pPr>
    </w:p>
    <w:p w:rsidR="001E6B43" w:rsidRPr="003E4F42" w:rsidRDefault="001E6B43" w:rsidP="001E6B43">
      <w:pPr>
        <w:pStyle w:val="Ruller4"/>
        <w:rPr>
          <w:rtl/>
        </w:rPr>
      </w:pPr>
      <w:r w:rsidRPr="003E4F42">
        <w:rPr>
          <w:rFonts w:hint="cs"/>
          <w:rtl/>
        </w:rPr>
        <w:t>לפנינו הועלו טענות כי המועד שנקבע בע</w:t>
      </w:r>
      <w:r w:rsidR="005F5533">
        <w:rPr>
          <w:rFonts w:hint="cs"/>
          <w:rtl/>
        </w:rPr>
        <w:t>נ</w:t>
      </w:r>
      <w:r w:rsidRPr="003E4F42">
        <w:rPr>
          <w:rFonts w:hint="cs"/>
          <w:rtl/>
        </w:rPr>
        <w:t xml:space="preserve">יין </w:t>
      </w:r>
      <w:r w:rsidRPr="003E4F42">
        <w:rPr>
          <w:rFonts w:cs="Miriam" w:hint="cs"/>
          <w:b/>
          <w:spacing w:val="0"/>
          <w:sz w:val="22"/>
          <w:szCs w:val="24"/>
          <w:rtl/>
        </w:rPr>
        <w:t>לוינטל</w:t>
      </w:r>
      <w:r w:rsidRPr="003E4F42">
        <w:rPr>
          <w:rFonts w:hint="cs"/>
          <w:rtl/>
        </w:rPr>
        <w:t xml:space="preserve"> אינו רלוונטי לענייננו (ראו למשל: סעיף 83 לתצהיר התשובה מטעם בועז יוסף; כן ראו סעיף 110 לתצהיר התשובה של הכנסת; אך ראו גם הבהרתו של בא כוח הכנסת כי עמדת הייעוץ המשפטי של הכנסת היא כי אין מקום לסטות מהמועד שנקבע בפסק דין</w:t>
      </w:r>
      <w:r w:rsidRPr="003E4F42">
        <w:rPr>
          <w:rFonts w:cs="Miriam" w:hint="cs"/>
          <w:b/>
          <w:spacing w:val="0"/>
          <w:sz w:val="22"/>
          <w:szCs w:val="24"/>
          <w:rtl/>
        </w:rPr>
        <w:t xml:space="preserve"> לוינטל</w:t>
      </w:r>
      <w:r w:rsidRPr="003E4F42">
        <w:rPr>
          <w:rFonts w:hint="cs"/>
          <w:sz w:val="22"/>
          <w:rtl/>
        </w:rPr>
        <w:t xml:space="preserve">; פרוטוקול הדיון לפנינו, בעמ' </w:t>
      </w:r>
      <w:r w:rsidRPr="003E4F42">
        <w:rPr>
          <w:rFonts w:hint="cs"/>
          <w:rtl/>
        </w:rPr>
        <w:t xml:space="preserve">18, ש' 10-8). שלושה טעמים שונים הוצגו לתמיכה בטענה זו: ראשית, כי פסק דין </w:t>
      </w:r>
      <w:r w:rsidRPr="003E4F42">
        <w:rPr>
          <w:rFonts w:cs="Miriam" w:hint="cs"/>
          <w:b/>
          <w:spacing w:val="0"/>
          <w:sz w:val="22"/>
          <w:szCs w:val="24"/>
          <w:rtl/>
        </w:rPr>
        <w:t>לוינטל</w:t>
      </w:r>
      <w:r w:rsidRPr="003E4F42">
        <w:rPr>
          <w:rFonts w:hint="cs"/>
          <w:rtl/>
        </w:rPr>
        <w:t xml:space="preserve"> עניינו בהחלטה מינהלית של שר הפנים ואילו לפנינו דבר חקיקה של הכנסת; שנית, כי השפעת ההחלטה שנדונה בעניין </w:t>
      </w:r>
      <w:r w:rsidRPr="003E4F42">
        <w:rPr>
          <w:rFonts w:cs="Miriam" w:hint="cs"/>
          <w:b/>
          <w:spacing w:val="0"/>
          <w:sz w:val="22"/>
          <w:szCs w:val="24"/>
          <w:rtl/>
        </w:rPr>
        <w:t xml:space="preserve">לוינטל </w:t>
      </w:r>
      <w:r w:rsidRPr="003E4F42">
        <w:rPr>
          <w:rFonts w:hint="cs"/>
          <w:sz w:val="22"/>
          <w:rtl/>
        </w:rPr>
        <w:t>על מערכת הבחירות הייתה גדולה יותר מהשפעת התיקון שלפנינו; ושלישית, כי יש הצדקה להבחין בין סוגי שונים של שינויים בכללי הבחירות</w:t>
      </w:r>
      <w:r w:rsidRPr="003E4F42">
        <w:rPr>
          <w:rFonts w:hint="cs"/>
          <w:rtl/>
        </w:rPr>
        <w:t xml:space="preserve">, ואין הכרח כי בכולם יהא אותו "מועד קובע" לעניין תחילת מערכת הבחירות. בעיני, אין בכוחו של אף אחד מטיעונים אלה כדי לסטות מההלכה הברורה שנקבעה בעניין </w:t>
      </w:r>
      <w:r w:rsidRPr="003E4F42">
        <w:rPr>
          <w:rFonts w:cs="Miriam" w:hint="cs"/>
          <w:b/>
          <w:spacing w:val="0"/>
          <w:sz w:val="22"/>
          <w:szCs w:val="24"/>
          <w:rtl/>
        </w:rPr>
        <w:t>לוינטל</w:t>
      </w:r>
      <w:r w:rsidRPr="003E4F42">
        <w:rPr>
          <w:rFonts w:hint="cs"/>
          <w:sz w:val="22"/>
          <w:rtl/>
        </w:rPr>
        <w:t xml:space="preserve">. תחילה יש לעמוד על כך כי ביסוד ההנמקה בעניין </w:t>
      </w:r>
      <w:r w:rsidRPr="003E4F42">
        <w:rPr>
          <w:rFonts w:cs="Miriam" w:hint="cs"/>
          <w:b/>
          <w:spacing w:val="0"/>
          <w:sz w:val="22"/>
          <w:szCs w:val="24"/>
          <w:rtl/>
        </w:rPr>
        <w:t>לוינטל</w:t>
      </w:r>
      <w:r w:rsidRPr="003E4F42">
        <w:rPr>
          <w:rFonts w:hint="cs"/>
          <w:sz w:val="22"/>
          <w:rtl/>
        </w:rPr>
        <w:t xml:space="preserve"> ניצב הצורך בהבטחת היציבות והוודאות של כללי הבחירות כמו גם קביעת מועד ודאי שבו החלה מערכת הבחירות. הטעמים שהובאו לעיל </w:t>
      </w:r>
      <w:r w:rsidRPr="003E4F42">
        <w:rPr>
          <w:sz w:val="22"/>
          <w:rtl/>
        </w:rPr>
        <w:t>–</w:t>
      </w:r>
      <w:r w:rsidRPr="003E4F42">
        <w:rPr>
          <w:rFonts w:hint="cs"/>
          <w:sz w:val="22"/>
          <w:rtl/>
        </w:rPr>
        <w:t xml:space="preserve"> כולם </w:t>
      </w:r>
      <w:r w:rsidRPr="003E4F42">
        <w:rPr>
          <w:sz w:val="22"/>
          <w:rtl/>
        </w:rPr>
        <w:t>–</w:t>
      </w:r>
      <w:r w:rsidRPr="003E4F42">
        <w:rPr>
          <w:rFonts w:hint="cs"/>
          <w:sz w:val="22"/>
          <w:rtl/>
        </w:rPr>
        <w:t xml:space="preserve"> מבקשים דווקא לסטות מהיגיון זה ולאפשר הכנסת עמימות בדבר יציבתם של כללי הבחירות. </w:t>
      </w:r>
    </w:p>
    <w:p w:rsidR="001E6B43" w:rsidRPr="003E4F42" w:rsidRDefault="001E6B43" w:rsidP="001E6B43">
      <w:pPr>
        <w:pStyle w:val="Ruller41"/>
        <w:rPr>
          <w:rtl/>
        </w:rPr>
      </w:pPr>
    </w:p>
    <w:p w:rsidR="001E6B43" w:rsidRPr="003E4F42" w:rsidRDefault="001E6B43" w:rsidP="00534B21">
      <w:pPr>
        <w:pStyle w:val="Ruller4"/>
        <w:rPr>
          <w:rtl/>
        </w:rPr>
      </w:pPr>
      <w:r w:rsidRPr="003E4F42">
        <w:rPr>
          <w:rFonts w:hint="cs"/>
          <w:rtl/>
        </w:rPr>
        <w:t>זאת ועוד, בבסיס טענות אלו (ובעיקר השנייה והשלישית) מגולמת עמדה שמבקשת להפחית מחשיבות התיקון ומהשלכותיו. ואולם, שינוי החוק כך שמי שמנהל את הרשות המקומית משך שנים רשאי להתמודד בבחירות, "טורפת את קלפי" ההתמודדות המקומית (ראו פסקה</w:t>
      </w:r>
      <w:r w:rsidR="00534B21" w:rsidRPr="003E4F42">
        <w:rPr>
          <w:rFonts w:hint="cs"/>
          <w:rtl/>
        </w:rPr>
        <w:t xml:space="preserve"> 23 </w:t>
      </w:r>
      <w:r w:rsidRPr="003E4F42">
        <w:rPr>
          <w:rFonts w:hint="cs"/>
          <w:rtl/>
        </w:rPr>
        <w:t xml:space="preserve">לעיל את התייחסותי ליתרונות שמהם נהנה יושב ראש הוועדה הממונה בבחירות). לכך גם יש להוסיף כי הטענה ששינוי זה לא "משנה את כמות הקולות הדרושה לקבלת מנדט" (סעיף 110.ג לתצהיר התשובה מטעם הכנסת) אינה </w:t>
      </w:r>
      <w:r w:rsidRPr="003E4F42">
        <w:rPr>
          <w:rFonts w:hint="cs"/>
          <w:rtl/>
        </w:rPr>
        <w:lastRenderedPageBreak/>
        <w:t xml:space="preserve">מדויקת, מאחר שהוספת מתמודדים בבחירות משליכה כמובן על סיכויו של כל מתמודד להיבחר, ובפרט, בכל הנוגע לבחירת ראש הרשות המקומית, הוספת מתמודד משליכה במישרין על הסיכוי לקבל לפחות 40% מהקולות באופן שמייתר בחירות חוזרות (סעיף 9 לחוק בחירת ראש הרשות וסגניו). זאת ועוד, אפילו הייתי מקבל את הטענה כי ישנם שינויים בכללי הבחירות שניתן לבצע גם לאחר המועד שנקבע בפסק דין </w:t>
      </w:r>
      <w:r w:rsidRPr="003E4F42">
        <w:rPr>
          <w:rFonts w:ascii="Century" w:hAnsi="Century" w:cs="Miriam" w:hint="cs"/>
          <w:b/>
          <w:spacing w:val="0"/>
          <w:sz w:val="22"/>
          <w:szCs w:val="24"/>
          <w:rtl/>
        </w:rPr>
        <w:t>לוינטל</w:t>
      </w:r>
      <w:r w:rsidRPr="003E4F42">
        <w:rPr>
          <w:rFonts w:ascii="Century" w:hAnsi="Century" w:hint="cs"/>
          <w:sz w:val="22"/>
          <w:rtl/>
        </w:rPr>
        <w:t xml:space="preserve"> </w:t>
      </w:r>
      <w:r w:rsidRPr="003E4F42">
        <w:rPr>
          <w:rFonts w:hint="cs"/>
          <w:rtl/>
        </w:rPr>
        <w:t xml:space="preserve">(ואיני קובע זאת כלל ועיקר), הרי שטענה מסוג זה צריכה להישען על תשתית עובדתית ומשפטית מתאימה. בכלל זאת, יש להמחיש שאכן פעולות ההכנה לבחירות שכבר נערכו לא מושפעות (או מושפעות במידה מזערית) משינוי זה </w:t>
      </w:r>
      <w:r w:rsidRPr="003E4F42">
        <w:rPr>
          <w:rtl/>
        </w:rPr>
        <w:t>–</w:t>
      </w:r>
      <w:r w:rsidRPr="003E4F42">
        <w:rPr>
          <w:rFonts w:hint="cs"/>
          <w:rtl/>
        </w:rPr>
        <w:t xml:space="preserve"> ואיני סבור כי אלה הם פני הדברים בכל הנוגע לטענות שהובאו ביחס לתיקון מס' 53. </w:t>
      </w:r>
    </w:p>
    <w:p w:rsidR="001E6B43" w:rsidRPr="003E4F42" w:rsidRDefault="001E6B43" w:rsidP="001E6B43">
      <w:pPr>
        <w:pStyle w:val="Ruller41"/>
        <w:rPr>
          <w:rtl/>
        </w:rPr>
      </w:pPr>
    </w:p>
    <w:p w:rsidR="001E6B43" w:rsidRPr="003E4F42" w:rsidRDefault="001E6B43" w:rsidP="0038660D">
      <w:pPr>
        <w:pStyle w:val="Ruller4"/>
      </w:pPr>
      <w:r w:rsidRPr="003E4F42">
        <w:rPr>
          <w:rFonts w:hint="cs"/>
          <w:rtl/>
        </w:rPr>
        <w:t xml:space="preserve">הנה כי כן: הבחירות הקרובות לרשויות המקומיות יתקיימו ביום 31.10.2023, ותקופת הבחירות, כפי שנקבע בעניין </w:t>
      </w:r>
      <w:r w:rsidRPr="003E4F42">
        <w:rPr>
          <w:rFonts w:ascii="Century" w:hAnsi="Century" w:cs="Miriam" w:hint="cs"/>
          <w:b/>
          <w:spacing w:val="0"/>
          <w:sz w:val="22"/>
          <w:szCs w:val="24"/>
          <w:rtl/>
        </w:rPr>
        <w:t>לוינטל</w:t>
      </w:r>
      <w:r w:rsidRPr="003E4F42">
        <w:rPr>
          <w:rFonts w:ascii="Century" w:hAnsi="Century" w:hint="cs"/>
          <w:sz w:val="22"/>
          <w:rtl/>
        </w:rPr>
        <w:t xml:space="preserve">, החלה ביום 4.6.2023 </w:t>
      </w:r>
      <w:r w:rsidRPr="003E4F42">
        <w:rPr>
          <w:rFonts w:ascii="Century" w:hAnsi="Century"/>
          <w:sz w:val="22"/>
          <w:rtl/>
        </w:rPr>
        <w:t>–</w:t>
      </w:r>
      <w:r w:rsidRPr="003E4F42">
        <w:rPr>
          <w:rFonts w:ascii="Century" w:hAnsi="Century" w:hint="cs"/>
          <w:sz w:val="22"/>
          <w:rtl/>
        </w:rPr>
        <w:t xml:space="preserve"> עובר לחקיקת תיקון מס' 53. ההחלטה</w:t>
      </w:r>
      <w:r w:rsidRPr="003E4F42">
        <w:rPr>
          <w:rFonts w:hint="cs"/>
          <w:rtl/>
        </w:rPr>
        <w:t xml:space="preserve"> להתמודד בבחירות מלווה לא אחת במחירים אישיים וכלכליים, והיא נעשית לאחר שקילת סיכונים וסיכויים. שינוי הכלל שאסר על חברי ויושבי ראש ועדה ממונה להתמודד בבחירות, במועד סמוך כל כך לבחירות פוגע בהסתמכות על יציבותם וודאותם של כללי הבחירות (וראו את הפניותיי בהקשר זה בפסקה</w:t>
      </w:r>
      <w:r w:rsidR="0038660D" w:rsidRPr="003E4F42">
        <w:rPr>
          <w:rFonts w:hint="cs"/>
          <w:rtl/>
        </w:rPr>
        <w:t xml:space="preserve"> 27 </w:t>
      </w:r>
      <w:r w:rsidRPr="003E4F42">
        <w:rPr>
          <w:rFonts w:hint="cs"/>
          <w:rtl/>
        </w:rPr>
        <w:t xml:space="preserve">לעיל). במקרה דנן, אף אין מדובר בהסתמכות על כלל בחירות שולי או זניח </w:t>
      </w:r>
      <w:r w:rsidRPr="003E4F42">
        <w:rPr>
          <w:rtl/>
        </w:rPr>
        <w:t>–</w:t>
      </w:r>
      <w:r w:rsidRPr="003E4F42">
        <w:rPr>
          <w:rFonts w:hint="cs"/>
          <w:rtl/>
        </w:rPr>
        <w:t xml:space="preserve"> מדובר בשינוי (רטרוספקטיבי) של כלל כשירות, שקבע ערב מערכת הבחירות כי העומדים בראשות הרשות המקומית אינם בבחינת מתחרים פוליטיים ולא יתמודדו בבחירות. ברי כי שינוי מעין זה, כאשר הוא מבוצע במועד סמוך כל כך לבחירות (ובתוך תקופת הבחירות כפי שנקבעה בעניין </w:t>
      </w:r>
      <w:r w:rsidRPr="003E4F42">
        <w:rPr>
          <w:rFonts w:ascii="Century" w:hAnsi="Century" w:cs="Miriam" w:hint="cs"/>
          <w:b/>
          <w:spacing w:val="0"/>
          <w:sz w:val="22"/>
          <w:szCs w:val="24"/>
          <w:rtl/>
        </w:rPr>
        <w:t>לוינטל</w:t>
      </w:r>
      <w:r w:rsidRPr="003E4F42">
        <w:rPr>
          <w:rFonts w:ascii="Century" w:hAnsi="Century" w:hint="cs"/>
          <w:sz w:val="22"/>
          <w:rtl/>
        </w:rPr>
        <w:t>), פוגע ביציבות ובוודאות שניצבים בבסיס הבחירות לרשויות המקומיות.</w:t>
      </w:r>
      <w:r w:rsidRPr="003E4F42">
        <w:rPr>
          <w:rFonts w:hint="cs"/>
          <w:rtl/>
        </w:rPr>
        <w:t xml:space="preserve"> </w:t>
      </w:r>
    </w:p>
    <w:p w:rsidR="001E6B43" w:rsidRPr="003E4F42" w:rsidRDefault="001E6B43" w:rsidP="001E6B43">
      <w:pPr>
        <w:pStyle w:val="Ruller4"/>
        <w:numPr>
          <w:ilvl w:val="0"/>
          <w:numId w:val="0"/>
        </w:num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נוכח כל האמור לעיל, אני סבור כי גם יציבותם של כללי הבחירות והכלל שאין משנים אותם בתוך תקופת הבחירות תומכים בפרשנות שלפיה תיקון מס' 53 אינו חל על מערכת הבחירות הקרובה לרשויות המקומיות. </w:t>
      </w: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t>שלטון החוק: חקיקה כללית ולא פרסונלית</w:t>
      </w:r>
    </w:p>
    <w:p w:rsidR="001E6B43" w:rsidRPr="003E4F42" w:rsidRDefault="001E6B43" w:rsidP="001E6B43">
      <w:pPr>
        <w:pStyle w:val="Ruller41"/>
        <w:rPr>
          <w:rtl/>
        </w:rPr>
      </w:pPr>
    </w:p>
    <w:p w:rsidR="001E6B43" w:rsidRPr="003E4F42" w:rsidRDefault="001E6B43" w:rsidP="00E848FF">
      <w:pPr>
        <w:pStyle w:val="Ruller4"/>
        <w:rPr>
          <w:rFonts w:ascii="Century" w:hAnsi="Century"/>
          <w:rtl/>
        </w:rPr>
      </w:pPr>
      <w:r w:rsidRPr="003E4F42">
        <w:rPr>
          <w:rFonts w:hint="cs"/>
          <w:rtl/>
        </w:rPr>
        <w:t xml:space="preserve">לצד האמור לעיל, קושי נוסף שמעוררת האפשרות הפרשנית בדבר תחולתו המידית של התיקון הוא הממד הפרסונלי המובהק שדבק בו. כידוע, אחד ממאפייניו הבסיסיים של חוק במדינה דמוקרטית הוא תחולתו הכללית, דהיינו תחולה על קבוצה בלתי מסוימת של אנשים (עניין </w:t>
      </w:r>
      <w:r w:rsidRPr="003E4F42">
        <w:rPr>
          <w:rFonts w:ascii="Century" w:hAnsi="Century" w:cs="Miriam" w:hint="cs"/>
          <w:b/>
          <w:spacing w:val="0"/>
          <w:sz w:val="22"/>
          <w:szCs w:val="24"/>
          <w:rtl/>
        </w:rPr>
        <w:t>ממשלת החילופים</w:t>
      </w:r>
      <w:r w:rsidRPr="003E4F42">
        <w:rPr>
          <w:rFonts w:ascii="Century" w:hAnsi="Century" w:hint="cs"/>
          <w:sz w:val="22"/>
          <w:rtl/>
        </w:rPr>
        <w:t xml:space="preserve">, פסקה 4 לפסק הדין של השופטת </w:t>
      </w:r>
      <w:r w:rsidRPr="003E4F42">
        <w:rPr>
          <w:rFonts w:ascii="Century" w:hAnsi="Century" w:cs="Miriam" w:hint="cs"/>
          <w:b/>
          <w:spacing w:val="0"/>
          <w:sz w:val="22"/>
          <w:szCs w:val="24"/>
          <w:rtl/>
        </w:rPr>
        <w:t>ע' ברון</w:t>
      </w:r>
      <w:r w:rsidRPr="003E4F42">
        <w:rPr>
          <w:rFonts w:ascii="Century" w:hAnsi="Century" w:hint="cs"/>
          <w:sz w:val="22"/>
          <w:rtl/>
        </w:rPr>
        <w:t>; בבג</w:t>
      </w:r>
      <w:r w:rsidRPr="003E4F42">
        <w:rPr>
          <w:rFonts w:hint="cs"/>
          <w:rtl/>
        </w:rPr>
        <w:t xml:space="preserve">"ץ 8612/15 </w:t>
      </w:r>
      <w:r w:rsidRPr="003E4F42">
        <w:rPr>
          <w:rFonts w:ascii="Century" w:hAnsi="Century" w:cs="Miriam" w:hint="cs"/>
          <w:b/>
          <w:spacing w:val="0"/>
          <w:szCs w:val="24"/>
          <w:rtl/>
        </w:rPr>
        <w:t>התנועה למען איכות השלטון בישראל נ' הכנסת</w:t>
      </w:r>
      <w:r w:rsidRPr="003E4F42">
        <w:rPr>
          <w:rFonts w:ascii="Century" w:hAnsi="Century" w:hint="cs"/>
          <w:rtl/>
        </w:rPr>
        <w:t>, פסקה 16</w:t>
      </w:r>
      <w:r w:rsidRPr="003E4F42">
        <w:rPr>
          <w:rFonts w:ascii="Century" w:hAnsi="Century" w:cs="Miriam" w:hint="cs"/>
          <w:b/>
          <w:spacing w:val="0"/>
          <w:szCs w:val="24"/>
          <w:rtl/>
        </w:rPr>
        <w:t xml:space="preserve"> </w:t>
      </w:r>
      <w:r w:rsidRPr="003E4F42">
        <w:rPr>
          <w:rFonts w:ascii="Century" w:hAnsi="Century" w:hint="cs"/>
          <w:rtl/>
        </w:rPr>
        <w:lastRenderedPageBreak/>
        <w:t xml:space="preserve">(17.8.2016) (להלן: עניין </w:t>
      </w:r>
      <w:r w:rsidRPr="003E4F42">
        <w:rPr>
          <w:rFonts w:ascii="Century" w:hAnsi="Century" w:cs="Miriam" w:hint="cs"/>
          <w:b/>
          <w:spacing w:val="0"/>
          <w:sz w:val="22"/>
          <w:szCs w:val="24"/>
          <w:rtl/>
        </w:rPr>
        <w:t>הרפורמה ברשות החשמל</w:t>
      </w:r>
      <w:r w:rsidRPr="003E4F42">
        <w:rPr>
          <w:rFonts w:ascii="Century" w:hAnsi="Century" w:hint="cs"/>
          <w:rtl/>
        </w:rPr>
        <w:t xml:space="preserve">); בג"ץ 6971/11 </w:t>
      </w:r>
      <w:r w:rsidRPr="003E4F42">
        <w:rPr>
          <w:rFonts w:ascii="Century" w:hAnsi="Century" w:cs="Miriam" w:hint="cs"/>
          <w:b/>
          <w:spacing w:val="0"/>
          <w:szCs w:val="24"/>
          <w:rtl/>
        </w:rPr>
        <w:t>איתנית מוצרי בניה בע"מ נ' מדינת ישראל</w:t>
      </w:r>
      <w:r w:rsidRPr="003E4F42">
        <w:rPr>
          <w:rFonts w:ascii="Century" w:hAnsi="Century" w:hint="cs"/>
          <w:rtl/>
        </w:rPr>
        <w:t>, פסקה 35 (2.4.2013)</w:t>
      </w:r>
      <w:r w:rsidRPr="003E4F42">
        <w:rPr>
          <w:rFonts w:hint="cs"/>
          <w:rtl/>
        </w:rPr>
        <w:t xml:space="preserve"> (להלן: עניין </w:t>
      </w:r>
      <w:r w:rsidRPr="003E4F42">
        <w:rPr>
          <w:rFonts w:ascii="Century" w:hAnsi="Century" w:cs="Miriam" w:hint="cs"/>
          <w:b/>
          <w:spacing w:val="0"/>
          <w:sz w:val="22"/>
          <w:szCs w:val="24"/>
          <w:rtl/>
        </w:rPr>
        <w:t>איתנית</w:t>
      </w:r>
      <w:r w:rsidRPr="003E4F42">
        <w:rPr>
          <w:rFonts w:hint="cs"/>
          <w:rtl/>
        </w:rPr>
        <w:t xml:space="preserve">); מיכל טמיר "חקיקה פרסונלית </w:t>
      </w:r>
      <w:r w:rsidRPr="003E4F42">
        <w:rPr>
          <w:rtl/>
        </w:rPr>
        <w:t>–</w:t>
      </w:r>
      <w:r w:rsidRPr="003E4F42">
        <w:rPr>
          <w:rFonts w:hint="cs"/>
          <w:rtl/>
        </w:rPr>
        <w:t xml:space="preserve"> חקיקה סלקטיבית" </w:t>
      </w:r>
      <w:r w:rsidRPr="003E4F42">
        <w:rPr>
          <w:rFonts w:ascii="Century" w:hAnsi="Century" w:cs="Miriam" w:hint="cs"/>
          <w:b/>
          <w:spacing w:val="0"/>
          <w:szCs w:val="24"/>
          <w:rtl/>
        </w:rPr>
        <w:t xml:space="preserve">חוקים </w:t>
      </w:r>
      <w:r w:rsidRPr="003E4F42">
        <w:rPr>
          <w:rFonts w:ascii="Century" w:hAnsi="Century" w:hint="cs"/>
          <w:rtl/>
        </w:rPr>
        <w:t xml:space="preserve">יב 173, 177 (2018) (להלן: </w:t>
      </w:r>
      <w:r w:rsidRPr="003E4F42">
        <w:rPr>
          <w:rFonts w:ascii="Century" w:hAnsi="Century" w:cs="Miriam" w:hint="cs"/>
          <w:b/>
          <w:spacing w:val="0"/>
          <w:sz w:val="22"/>
          <w:szCs w:val="24"/>
          <w:rtl/>
        </w:rPr>
        <w:t>טמיר, חקיקה פרסונלית</w:t>
      </w:r>
      <w:r w:rsidRPr="003E4F42">
        <w:rPr>
          <w:rFonts w:ascii="Century" w:hAnsi="Century" w:hint="cs"/>
          <w:rtl/>
        </w:rPr>
        <w:t xml:space="preserve">); אהרן ברק </w:t>
      </w:r>
      <w:r w:rsidRPr="003E4F42">
        <w:rPr>
          <w:rFonts w:ascii="Century" w:hAnsi="Century" w:cs="Miriam" w:hint="cs"/>
          <w:b/>
          <w:spacing w:val="0"/>
          <w:sz w:val="22"/>
          <w:szCs w:val="24"/>
          <w:rtl/>
        </w:rPr>
        <w:t>מידתיות במשפט</w:t>
      </w:r>
      <w:r w:rsidRPr="003E4F42">
        <w:rPr>
          <w:rFonts w:ascii="Century" w:hAnsi="Century" w:hint="cs"/>
          <w:sz w:val="22"/>
          <w:rtl/>
        </w:rPr>
        <w:t xml:space="preserve"> 153-152</w:t>
      </w:r>
      <w:r w:rsidRPr="003E4F42">
        <w:rPr>
          <w:rFonts w:ascii="Century" w:hAnsi="Century" w:cs="Miriam" w:hint="cs"/>
          <w:b/>
          <w:spacing w:val="0"/>
          <w:sz w:val="22"/>
          <w:szCs w:val="24"/>
          <w:rtl/>
        </w:rPr>
        <w:t xml:space="preserve"> </w:t>
      </w:r>
      <w:r w:rsidRPr="003E4F42">
        <w:rPr>
          <w:rFonts w:ascii="Century" w:hAnsi="Century" w:hint="cs"/>
          <w:sz w:val="22"/>
          <w:rtl/>
        </w:rPr>
        <w:t>(2010)</w:t>
      </w:r>
      <w:r w:rsidRPr="003E4F42">
        <w:rPr>
          <w:rFonts w:hint="cs"/>
          <w:rtl/>
        </w:rPr>
        <w:t xml:space="preserve"> (להלן: </w:t>
      </w:r>
      <w:r w:rsidRPr="003E4F42">
        <w:rPr>
          <w:rFonts w:ascii="Century" w:hAnsi="Century" w:cs="Miriam" w:hint="cs"/>
          <w:b/>
          <w:spacing w:val="0"/>
          <w:sz w:val="22"/>
          <w:szCs w:val="24"/>
          <w:rtl/>
        </w:rPr>
        <w:t>ברק, מידתיות במשפט</w:t>
      </w:r>
      <w:r w:rsidRPr="003E4F42">
        <w:rPr>
          <w:rFonts w:hint="cs"/>
          <w:rtl/>
        </w:rPr>
        <w:t>)). על משמעות דרישת הכלליות של החוק עמדו רובינשטיין ומדינה בספרם:</w:t>
      </w:r>
    </w:p>
    <w:p w:rsidR="001E6B43" w:rsidRPr="003E4F42" w:rsidRDefault="001E6B43" w:rsidP="001E6B43">
      <w:pPr>
        <w:pStyle w:val="Ruller5"/>
        <w:rPr>
          <w:rtl/>
        </w:rPr>
      </w:pPr>
    </w:p>
    <w:p w:rsidR="001E6B43" w:rsidRPr="003E4F42" w:rsidRDefault="001E6B43" w:rsidP="001E6B43">
      <w:pPr>
        <w:pStyle w:val="Ruller5"/>
        <w:rPr>
          <w:rtl/>
        </w:rPr>
      </w:pPr>
      <w:r w:rsidRPr="003E4F42">
        <w:rPr>
          <w:rFonts w:hint="cs"/>
          <w:rtl/>
        </w:rPr>
        <w:t xml:space="preserve">"המשמעות של דרישה זו היא, כי הנורמות המשפטיות יבטאו עמדה עקרונית באשר לדרך ההתנהגות הראויה במצבים מסוימים באשר לאופן ההקצאה של משאבים ציבוריים וכדומה </w:t>
      </w:r>
      <w:r w:rsidRPr="003E4F42">
        <w:rPr>
          <w:rtl/>
        </w:rPr>
        <w:t>–</w:t>
      </w:r>
      <w:r w:rsidRPr="003E4F42">
        <w:rPr>
          <w:rFonts w:hint="cs"/>
          <w:rtl/>
        </w:rPr>
        <w:t xml:space="preserve"> ולא יתבססו על זהויותיהם של האנשים אליהן מכוונות הנורמות. דרישה זו מנוסחת לעתים כשאיפה שההכרעות החברתיות יתקבלו 'מאחורי מסך של בערות' (</w:t>
      </w:r>
      <w:r w:rsidRPr="003E4F42">
        <w:rPr>
          <w:rFonts w:ascii="Century" w:hAnsi="Century" w:cs="Miriam"/>
          <w:bCs/>
          <w:spacing w:val="0"/>
          <w:szCs w:val="24"/>
        </w:rPr>
        <w:t>'behind a veil of ignorance</w:t>
      </w:r>
      <w:r w:rsidRPr="003E4F42">
        <w:t>'</w:t>
      </w:r>
      <w:r w:rsidRPr="003E4F42">
        <w:rPr>
          <w:rFonts w:hint="cs"/>
          <w:rtl/>
        </w:rPr>
        <w:t>). כאשר ההכרעות השלטוניות אינן מתקבלות 'מאחורי מסך של בערות', גדל החשש מפני שימוש לרעה בסמכות השלטונית, ועמו הצורך ביצירת מנגנוני בקרה ופיקוח. מקובל לסבור כי חיוב מקבלי ההחלטות לקבוע אמות מידה כלליות מקטין את החשש מפני התנכלות לפרטים מסוימים או העדפה בלתי מוצדקת של אחרים, מונע שרירות ומגביר את ההגינות השלטונית ואת אמון הציבור בשלטון" (287-286</w:t>
      </w:r>
      <w:r w:rsidRPr="003E4F42">
        <w:rPr>
          <w:rFonts w:hint="eastAsia"/>
          <w:rtl/>
        </w:rPr>
        <w:t xml:space="preserve"> אמנון</w:t>
      </w:r>
      <w:r w:rsidRPr="003E4F42">
        <w:rPr>
          <w:rtl/>
        </w:rPr>
        <w:t xml:space="preserve"> </w:t>
      </w:r>
      <w:r w:rsidRPr="003E4F42">
        <w:rPr>
          <w:rFonts w:hint="eastAsia"/>
          <w:rtl/>
        </w:rPr>
        <w:t>רובינשטיין</w:t>
      </w:r>
      <w:r w:rsidRPr="003E4F42">
        <w:rPr>
          <w:rtl/>
        </w:rPr>
        <w:t xml:space="preserve"> </w:t>
      </w:r>
      <w:r w:rsidRPr="003E4F42">
        <w:rPr>
          <w:rFonts w:hint="eastAsia"/>
          <w:rtl/>
        </w:rPr>
        <w:t>וברק</w:t>
      </w:r>
      <w:r w:rsidRPr="003E4F42">
        <w:rPr>
          <w:rtl/>
        </w:rPr>
        <w:t xml:space="preserve"> </w:t>
      </w:r>
      <w:r w:rsidRPr="003E4F42">
        <w:rPr>
          <w:rFonts w:hint="eastAsia"/>
          <w:rtl/>
        </w:rPr>
        <w:t>מדינה</w:t>
      </w:r>
      <w:r w:rsidRPr="003E4F42">
        <w:rPr>
          <w:rtl/>
        </w:rPr>
        <w:t xml:space="preserve"> </w:t>
      </w:r>
      <w:r w:rsidRPr="003E4F42">
        <w:rPr>
          <w:rFonts w:ascii="Century" w:hAnsi="Century" w:cs="Miriam" w:hint="eastAsia"/>
          <w:b/>
          <w:spacing w:val="0"/>
          <w:szCs w:val="24"/>
          <w:rtl/>
        </w:rPr>
        <w:t>המשפט</w:t>
      </w:r>
      <w:r w:rsidRPr="003E4F42">
        <w:rPr>
          <w:rFonts w:ascii="Century" w:hAnsi="Century" w:cs="Miriam"/>
          <w:b/>
          <w:spacing w:val="0"/>
          <w:szCs w:val="24"/>
          <w:rtl/>
        </w:rPr>
        <w:t xml:space="preserve"> </w:t>
      </w:r>
      <w:r w:rsidRPr="003E4F42">
        <w:rPr>
          <w:rFonts w:ascii="Century" w:hAnsi="Century" w:cs="Miriam" w:hint="eastAsia"/>
          <w:b/>
          <w:spacing w:val="0"/>
          <w:szCs w:val="24"/>
          <w:rtl/>
        </w:rPr>
        <w:t>החוקתי</w:t>
      </w:r>
      <w:r w:rsidRPr="003E4F42">
        <w:rPr>
          <w:rFonts w:ascii="Century" w:hAnsi="Century" w:cs="Miriam"/>
          <w:b/>
          <w:spacing w:val="0"/>
          <w:szCs w:val="24"/>
          <w:rtl/>
        </w:rPr>
        <w:t xml:space="preserve"> </w:t>
      </w:r>
      <w:r w:rsidRPr="003E4F42">
        <w:rPr>
          <w:rFonts w:ascii="Century" w:hAnsi="Century" w:cs="Miriam" w:hint="eastAsia"/>
          <w:b/>
          <w:spacing w:val="0"/>
          <w:szCs w:val="24"/>
          <w:rtl/>
        </w:rPr>
        <w:t>של</w:t>
      </w:r>
      <w:r w:rsidRPr="003E4F42">
        <w:rPr>
          <w:rFonts w:ascii="Century" w:hAnsi="Century" w:cs="Miriam"/>
          <w:b/>
          <w:spacing w:val="0"/>
          <w:szCs w:val="24"/>
          <w:rtl/>
        </w:rPr>
        <w:t xml:space="preserve"> </w:t>
      </w:r>
      <w:r w:rsidRPr="003E4F42">
        <w:rPr>
          <w:rFonts w:ascii="Century" w:hAnsi="Century" w:cs="Miriam" w:hint="eastAsia"/>
          <w:b/>
          <w:spacing w:val="0"/>
          <w:szCs w:val="24"/>
          <w:rtl/>
        </w:rPr>
        <w:t>מדינת</w:t>
      </w:r>
      <w:r w:rsidRPr="003E4F42">
        <w:rPr>
          <w:rFonts w:ascii="Century" w:hAnsi="Century" w:cs="Miriam"/>
          <w:b/>
          <w:spacing w:val="0"/>
          <w:szCs w:val="24"/>
          <w:rtl/>
        </w:rPr>
        <w:t xml:space="preserve"> </w:t>
      </w:r>
      <w:r w:rsidRPr="003E4F42">
        <w:rPr>
          <w:rFonts w:ascii="Century" w:hAnsi="Century" w:cs="Miriam" w:hint="eastAsia"/>
          <w:b/>
          <w:spacing w:val="0"/>
          <w:szCs w:val="24"/>
          <w:rtl/>
        </w:rPr>
        <w:t>ישראל</w:t>
      </w:r>
      <w:r w:rsidRPr="003E4F42">
        <w:rPr>
          <w:rFonts w:ascii="Century" w:hAnsi="Century" w:cs="Miriam"/>
          <w:b/>
          <w:spacing w:val="0"/>
          <w:szCs w:val="24"/>
          <w:rtl/>
        </w:rPr>
        <w:t xml:space="preserve"> – </w:t>
      </w:r>
      <w:r w:rsidRPr="003E4F42">
        <w:rPr>
          <w:rFonts w:ascii="Century" w:hAnsi="Century" w:cs="Miriam" w:hint="eastAsia"/>
          <w:b/>
          <w:spacing w:val="0"/>
          <w:szCs w:val="24"/>
          <w:rtl/>
        </w:rPr>
        <w:t>עקרונות</w:t>
      </w:r>
      <w:r w:rsidRPr="003E4F42">
        <w:rPr>
          <w:rFonts w:ascii="Century" w:hAnsi="Century" w:cs="Miriam"/>
          <w:b/>
          <w:spacing w:val="0"/>
          <w:szCs w:val="24"/>
          <w:rtl/>
        </w:rPr>
        <w:t xml:space="preserve"> </w:t>
      </w:r>
      <w:r w:rsidRPr="003E4F42">
        <w:rPr>
          <w:rFonts w:ascii="Century" w:hAnsi="Century" w:cs="Miriam" w:hint="eastAsia"/>
          <w:b/>
          <w:spacing w:val="0"/>
          <w:szCs w:val="24"/>
          <w:rtl/>
        </w:rPr>
        <w:t>יסוד</w:t>
      </w:r>
      <w:r w:rsidRPr="003E4F42">
        <w:rPr>
          <w:rFonts w:ascii="Century" w:hAnsi="Century" w:hint="cs"/>
          <w:rtl/>
        </w:rPr>
        <w:t xml:space="preserve"> 287-286 (מהדורה שישית, 2005)</w:t>
      </w:r>
      <w:r w:rsidRPr="003E4F42">
        <w:rPr>
          <w:rFonts w:hint="cs"/>
          <w:rtl/>
        </w:rPr>
        <w:t xml:space="preserve">; כן השוו: דנ"א 4960/18 </w:t>
      </w:r>
      <w:r w:rsidRPr="003E4F42">
        <w:rPr>
          <w:rFonts w:ascii="Century" w:hAnsi="Century" w:cs="Miriam" w:hint="cs"/>
          <w:b/>
          <w:spacing w:val="0"/>
          <w:szCs w:val="24"/>
          <w:rtl/>
        </w:rPr>
        <w:t>זליגמן נ' הפניקס חברה לביטוח בע"מ</w:t>
      </w:r>
      <w:r w:rsidRPr="003E4F42">
        <w:rPr>
          <w:rFonts w:ascii="Century" w:hAnsi="Century" w:hint="cs"/>
          <w:rtl/>
        </w:rPr>
        <w:t xml:space="preserve">, פסקה 52 לפסק הדין של המשנה לנשיאה (בדימ') </w:t>
      </w:r>
      <w:r w:rsidRPr="003E4F42">
        <w:rPr>
          <w:rFonts w:ascii="Century" w:hAnsi="Century" w:cs="Miriam" w:hint="cs"/>
          <w:b/>
          <w:spacing w:val="0"/>
          <w:szCs w:val="24"/>
          <w:rtl/>
        </w:rPr>
        <w:t>ח' מלצר</w:t>
      </w:r>
      <w:r w:rsidRPr="003E4F42">
        <w:rPr>
          <w:rFonts w:ascii="Century" w:hAnsi="Century" w:hint="cs"/>
          <w:rtl/>
        </w:rPr>
        <w:t xml:space="preserve"> (4.7.2021)</w:t>
      </w:r>
      <w:r w:rsidRPr="003E4F42">
        <w:rPr>
          <w:rFonts w:hint="cs"/>
          <w:rtl/>
        </w:rPr>
        <w:t>).</w:t>
      </w:r>
    </w:p>
    <w:p w:rsidR="001E6B43" w:rsidRPr="003E4F42" w:rsidRDefault="001E6B43" w:rsidP="001E6B43">
      <w:pPr>
        <w:pStyle w:val="Ruller41"/>
        <w:rPr>
          <w:rtl/>
        </w:rPr>
      </w:pPr>
    </w:p>
    <w:p w:rsidR="001E6B43" w:rsidRPr="003E4F42" w:rsidRDefault="001E6B43" w:rsidP="001E6B43">
      <w:pPr>
        <w:pStyle w:val="Ruller41"/>
        <w:rPr>
          <w:rtl/>
        </w:rPr>
      </w:pPr>
      <w:r w:rsidRPr="003E4F42">
        <w:rPr>
          <w:rtl/>
        </w:rPr>
        <w:tab/>
      </w:r>
      <w:r w:rsidRPr="003E4F42">
        <w:rPr>
          <w:rFonts w:hint="cs"/>
          <w:rtl/>
        </w:rPr>
        <w:t>ובמקום אחר צוין בהקשר זה:</w:t>
      </w:r>
    </w:p>
    <w:p w:rsidR="001E6B43" w:rsidRPr="003E4F42" w:rsidRDefault="001E6B43" w:rsidP="001E6B43">
      <w:pPr>
        <w:pStyle w:val="Ruller41"/>
        <w:rPr>
          <w:rtl/>
        </w:rPr>
      </w:pPr>
    </w:p>
    <w:p w:rsidR="001E6B43" w:rsidRPr="003E4F42" w:rsidRDefault="001E6B43" w:rsidP="001E6B43">
      <w:pPr>
        <w:pStyle w:val="Ruller5"/>
        <w:rPr>
          <w:rtl/>
        </w:rPr>
      </w:pPr>
      <w:r w:rsidRPr="003E4F42">
        <w:rPr>
          <w:rFonts w:hint="cs"/>
          <w:rtl/>
        </w:rPr>
        <w:t>"בבואו לחוקק חוק, על המחוקק להעמיד לנגד עיניו עיקרון המשרת לתפיסתו את האינטרס הציבורי הכללי. אסור למחוקק לעצב את הנורמה כאשר טובתו של אדם ספציפי עומדת לנגד עיניו ולתפור אותה למידותיו. עשייה חקיקתית כזו דומה לסימון המטרה סביב החץ ואינה עושה צדק עם שאר האוכלוסייה חסרת הקשרים" (נ</w:t>
      </w:r>
      <w:r w:rsidRPr="003E4F42">
        <w:rPr>
          <w:rFonts w:hint="eastAsia"/>
          <w:rtl/>
        </w:rPr>
        <w:t>דיב</w:t>
      </w:r>
      <w:r w:rsidRPr="003E4F42">
        <w:rPr>
          <w:rtl/>
        </w:rPr>
        <w:t xml:space="preserve"> </w:t>
      </w:r>
      <w:r w:rsidRPr="003E4F42">
        <w:rPr>
          <w:rFonts w:hint="eastAsia"/>
          <w:rtl/>
        </w:rPr>
        <w:t>מרדכי</w:t>
      </w:r>
      <w:r w:rsidRPr="003E4F42">
        <w:rPr>
          <w:rtl/>
        </w:rPr>
        <w:t xml:space="preserve">, </w:t>
      </w:r>
      <w:r w:rsidRPr="003E4F42">
        <w:rPr>
          <w:rFonts w:hint="eastAsia"/>
          <w:rtl/>
        </w:rPr>
        <w:t>מרדכי</w:t>
      </w:r>
      <w:r w:rsidRPr="003E4F42">
        <w:rPr>
          <w:rtl/>
        </w:rPr>
        <w:t xml:space="preserve"> </w:t>
      </w:r>
      <w:r w:rsidRPr="003E4F42">
        <w:rPr>
          <w:rFonts w:hint="eastAsia"/>
          <w:rtl/>
        </w:rPr>
        <w:t>קרמניצר</w:t>
      </w:r>
      <w:r w:rsidRPr="003E4F42">
        <w:rPr>
          <w:rtl/>
        </w:rPr>
        <w:t xml:space="preserve"> </w:t>
      </w:r>
      <w:r w:rsidRPr="003E4F42">
        <w:rPr>
          <w:rFonts w:hint="eastAsia"/>
          <w:rtl/>
        </w:rPr>
        <w:t>ועמיר</w:t>
      </w:r>
      <w:r w:rsidRPr="003E4F42">
        <w:rPr>
          <w:rtl/>
        </w:rPr>
        <w:t xml:space="preserve"> </w:t>
      </w:r>
      <w:r w:rsidRPr="003E4F42">
        <w:rPr>
          <w:rFonts w:hint="eastAsia"/>
          <w:rtl/>
        </w:rPr>
        <w:t>פוקס</w:t>
      </w:r>
      <w:r w:rsidRPr="003E4F42">
        <w:rPr>
          <w:rtl/>
        </w:rPr>
        <w:t xml:space="preserve"> </w:t>
      </w:r>
      <w:r w:rsidRPr="003E4F42">
        <w:rPr>
          <w:rFonts w:ascii="Century" w:hAnsi="Century" w:cs="Miriam" w:hint="eastAsia"/>
          <w:b/>
          <w:spacing w:val="0"/>
          <w:szCs w:val="24"/>
          <w:rtl/>
        </w:rPr>
        <w:t>מדריך</w:t>
      </w:r>
      <w:r w:rsidRPr="003E4F42">
        <w:rPr>
          <w:rFonts w:ascii="Century" w:hAnsi="Century" w:cs="Miriam"/>
          <w:b/>
          <w:spacing w:val="0"/>
          <w:szCs w:val="24"/>
          <w:rtl/>
        </w:rPr>
        <w:t xml:space="preserve"> </w:t>
      </w:r>
      <w:r w:rsidRPr="003E4F42">
        <w:rPr>
          <w:rFonts w:ascii="Century" w:hAnsi="Century" w:cs="Miriam" w:hint="eastAsia"/>
          <w:b/>
          <w:spacing w:val="0"/>
          <w:szCs w:val="24"/>
          <w:rtl/>
        </w:rPr>
        <w:t>למחוקק</w:t>
      </w:r>
      <w:r w:rsidRPr="003E4F42">
        <w:rPr>
          <w:rtl/>
        </w:rPr>
        <w:t xml:space="preserve"> </w:t>
      </w:r>
      <w:r w:rsidRPr="003E4F42">
        <w:rPr>
          <w:rFonts w:hint="cs"/>
          <w:rtl/>
        </w:rPr>
        <w:t xml:space="preserve">63 </w:t>
      </w:r>
      <w:r w:rsidRPr="003E4F42">
        <w:rPr>
          <w:rtl/>
        </w:rPr>
        <w:t>(2015)</w:t>
      </w:r>
      <w:r w:rsidRPr="003E4F42">
        <w:rPr>
          <w:rFonts w:hint="cs"/>
          <w:rtl/>
        </w:rPr>
        <w:t>).</w:t>
      </w:r>
    </w:p>
    <w:p w:rsidR="001E6B43" w:rsidRPr="003E4F42" w:rsidRDefault="001E6B43" w:rsidP="001E6B43">
      <w:pPr>
        <w:pStyle w:val="Ruller41"/>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דרישה זו נובעת מעקרון שלטון החוק </w:t>
      </w:r>
      <w:r w:rsidRPr="003E4F42">
        <w:rPr>
          <w:rtl/>
        </w:rPr>
        <w:t>–</w:t>
      </w:r>
      <w:r w:rsidRPr="003E4F42">
        <w:rPr>
          <w:rFonts w:hint="cs"/>
          <w:rtl/>
        </w:rPr>
        <w:t xml:space="preserve"> שמונה את הכלליות כאחד מן היסודות החיוניים לתוקפה של חקיקה כנורמה משפטית מחייבת (בג"ץ 10203/03 </w:t>
      </w:r>
      <w:r w:rsidRPr="003E4F42">
        <w:rPr>
          <w:rFonts w:ascii="Century" w:hAnsi="Century" w:cs="Miriam" w:hint="cs"/>
          <w:b/>
          <w:spacing w:val="0"/>
          <w:sz w:val="22"/>
          <w:szCs w:val="24"/>
          <w:rtl/>
        </w:rPr>
        <w:t>"המפקד הלאומי" בע"מ נ' היועץ המשפטי לממשלה</w:t>
      </w:r>
      <w:r w:rsidRPr="003E4F42">
        <w:rPr>
          <w:rFonts w:ascii="Century" w:hAnsi="Century" w:hint="cs"/>
          <w:sz w:val="22"/>
          <w:rtl/>
        </w:rPr>
        <w:t>, פ"ד סב(4) 715, 815 (2008)</w:t>
      </w:r>
      <w:r w:rsidRPr="003E4F42">
        <w:rPr>
          <w:rFonts w:hint="cs"/>
          <w:rtl/>
        </w:rPr>
        <w:t xml:space="preserve">; ברק, מידתיות במשפט, בעמ' 152). זאת ועוד, יש שרואים בעקרון הכלליות חלק מעקרון הפרדת הרשויות, וזאת מאחר שחקיקה פרסונלית עשויה לעלות כדי התערבות של הרשות המחוקקת בעניינה של הרשות המבצעת או בעניינה של הרשות השופטת (עניין </w:t>
      </w:r>
      <w:r w:rsidRPr="003E4F42">
        <w:rPr>
          <w:rFonts w:ascii="Century" w:hAnsi="Century" w:cs="Miriam" w:hint="cs"/>
          <w:b/>
          <w:spacing w:val="0"/>
          <w:sz w:val="22"/>
          <w:szCs w:val="24"/>
          <w:rtl/>
        </w:rPr>
        <w:t xml:space="preserve">ממשלת </w:t>
      </w:r>
      <w:r w:rsidRPr="003E4F42">
        <w:rPr>
          <w:rFonts w:ascii="Century" w:hAnsi="Century" w:cs="Miriam" w:hint="cs"/>
          <w:b/>
          <w:spacing w:val="0"/>
          <w:sz w:val="22"/>
          <w:szCs w:val="24"/>
          <w:rtl/>
        </w:rPr>
        <w:lastRenderedPageBreak/>
        <w:t>החילופים</w:t>
      </w:r>
      <w:r w:rsidRPr="003E4F42">
        <w:rPr>
          <w:rFonts w:ascii="Century" w:hAnsi="Century" w:hint="cs"/>
          <w:sz w:val="22"/>
          <w:rtl/>
        </w:rPr>
        <w:t xml:space="preserve">, פסקה 140 לפסק הדין של המשנה לנשיאה (בדימ') </w:t>
      </w:r>
      <w:r w:rsidRPr="003E4F42">
        <w:rPr>
          <w:rFonts w:ascii="Century" w:hAnsi="Century" w:cs="Miriam" w:hint="cs"/>
          <w:b/>
          <w:spacing w:val="0"/>
          <w:sz w:val="22"/>
          <w:szCs w:val="24"/>
          <w:rtl/>
        </w:rPr>
        <w:t>ח' מלצר</w:t>
      </w:r>
      <w:r w:rsidRPr="003E4F42">
        <w:rPr>
          <w:rFonts w:ascii="Century" w:hAnsi="Century" w:hint="cs"/>
          <w:sz w:val="22"/>
          <w:rtl/>
        </w:rPr>
        <w:t xml:space="preserve">; </w:t>
      </w:r>
      <w:r w:rsidRPr="003E4F42">
        <w:rPr>
          <w:rFonts w:ascii="Century" w:hAnsi="Century" w:hint="eastAsia"/>
          <w:sz w:val="22"/>
          <w:rtl/>
        </w:rPr>
        <w:t>אהרן</w:t>
      </w:r>
      <w:r w:rsidRPr="003E4F42">
        <w:rPr>
          <w:rtl/>
        </w:rPr>
        <w:t xml:space="preserve"> </w:t>
      </w:r>
      <w:r w:rsidRPr="003E4F42">
        <w:rPr>
          <w:rFonts w:hint="eastAsia"/>
          <w:rtl/>
        </w:rPr>
        <w:t>ברק</w:t>
      </w:r>
      <w:r w:rsidRPr="003E4F42">
        <w:rPr>
          <w:rtl/>
        </w:rPr>
        <w:t xml:space="preserve">, </w:t>
      </w:r>
      <w:r w:rsidRPr="003E4F42">
        <w:rPr>
          <w:rFonts w:ascii="Century" w:hAnsi="Century" w:cs="Miriam" w:hint="eastAsia"/>
          <w:b/>
          <w:spacing w:val="0"/>
          <w:sz w:val="22"/>
          <w:szCs w:val="24"/>
          <w:rtl/>
        </w:rPr>
        <w:t>חוק</w:t>
      </w:r>
      <w:r w:rsidRPr="003E4F42">
        <w:rPr>
          <w:rFonts w:ascii="Century" w:hAnsi="Century" w:cs="Miriam"/>
          <w:b/>
          <w:spacing w:val="0"/>
          <w:sz w:val="22"/>
          <w:szCs w:val="24"/>
          <w:rtl/>
        </w:rPr>
        <w:t>-</w:t>
      </w:r>
      <w:r w:rsidRPr="003E4F42">
        <w:rPr>
          <w:rFonts w:ascii="Century" w:hAnsi="Century" w:cs="Miriam" w:hint="eastAsia"/>
          <w:b/>
          <w:spacing w:val="0"/>
          <w:sz w:val="22"/>
          <w:szCs w:val="24"/>
          <w:rtl/>
        </w:rPr>
        <w:t>יסוד</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כבוד</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האדם</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וחירותו</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וחוק</w:t>
      </w:r>
      <w:r w:rsidRPr="003E4F42">
        <w:rPr>
          <w:rFonts w:ascii="Century" w:hAnsi="Century" w:cs="Miriam"/>
          <w:b/>
          <w:spacing w:val="0"/>
          <w:sz w:val="22"/>
          <w:szCs w:val="24"/>
          <w:rtl/>
        </w:rPr>
        <w:t>-</w:t>
      </w:r>
      <w:r w:rsidRPr="003E4F42">
        <w:rPr>
          <w:rFonts w:ascii="Century" w:hAnsi="Century" w:cs="Miriam" w:hint="eastAsia"/>
          <w:b/>
          <w:spacing w:val="0"/>
          <w:sz w:val="22"/>
          <w:szCs w:val="24"/>
          <w:rtl/>
        </w:rPr>
        <w:t>יסוד</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חופש</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העיסוק</w:t>
      </w:r>
      <w:r w:rsidRPr="003E4F42">
        <w:rPr>
          <w:rtl/>
        </w:rPr>
        <w:t xml:space="preserve"> </w:t>
      </w:r>
      <w:r w:rsidRPr="003E4F42">
        <w:rPr>
          <w:rFonts w:hint="eastAsia"/>
          <w:rtl/>
        </w:rPr>
        <w:t>כרך</w:t>
      </w:r>
      <w:r w:rsidRPr="003E4F42">
        <w:rPr>
          <w:rtl/>
        </w:rPr>
        <w:t xml:space="preserve"> </w:t>
      </w:r>
      <w:r w:rsidRPr="003E4F42">
        <w:rPr>
          <w:rFonts w:hint="eastAsia"/>
          <w:rtl/>
        </w:rPr>
        <w:t>ד</w:t>
      </w:r>
      <w:r w:rsidRPr="003E4F42">
        <w:rPr>
          <w:rtl/>
        </w:rPr>
        <w:t xml:space="preserve"> – </w:t>
      </w:r>
      <w:r w:rsidRPr="003E4F42">
        <w:rPr>
          <w:rFonts w:hint="eastAsia"/>
          <w:rtl/>
        </w:rPr>
        <w:t>הביקורת</w:t>
      </w:r>
      <w:r w:rsidRPr="003E4F42">
        <w:rPr>
          <w:rFonts w:hint="cs"/>
          <w:rtl/>
        </w:rPr>
        <w:t xml:space="preserve"> </w:t>
      </w:r>
      <w:r w:rsidRPr="003E4F42">
        <w:rPr>
          <w:rFonts w:hint="eastAsia"/>
          <w:rtl/>
        </w:rPr>
        <w:t>השיפוטית</w:t>
      </w:r>
      <w:r w:rsidRPr="003E4F42">
        <w:rPr>
          <w:rFonts w:hint="cs"/>
          <w:rtl/>
        </w:rPr>
        <w:t xml:space="preserve"> 1789 (יצחק זמיר עורך, 2023) (להלן: </w:t>
      </w:r>
      <w:r w:rsidRPr="003E4F42">
        <w:rPr>
          <w:rFonts w:ascii="Century" w:hAnsi="Century" w:cs="Miriam" w:hint="cs"/>
          <w:b/>
          <w:spacing w:val="0"/>
          <w:sz w:val="22"/>
          <w:szCs w:val="24"/>
          <w:rtl/>
        </w:rPr>
        <w:t>ברק, הביקורת השיפוטית</w:t>
      </w:r>
      <w:r w:rsidRPr="003E4F42">
        <w:rPr>
          <w:rFonts w:hint="cs"/>
          <w:rtl/>
        </w:rPr>
        <w:t xml:space="preserve">); טמיר, חקיקה פרסונלית, בעמ' 175; ברק, מידתיות במשפט, בעמ' 153-152; לצד זאת, קיימת גם גישה שמבססת את דרישת הכלליות על הזכות לשוויון, ראו שם). יהא עיגונה של דרישה זו אשר יהא, חקיקה שאינה כללית עשויה לפגוע באמון הציבור במחוקק ובחקיקה, ולעורר את החשש כי החקיקה אינה תוצר של בחינת ההסדר הראוי והרצוי לאור שיקולים כלליים אלא נשענת על אינטרסים צרים ופרטיים. הניסיון להבטיח כי החקיקה תיעשה במידת האפשר במנותק משיקולים אישיים ומאחורי "מסך בערות" חשוב במיוחד כאשר עסקינן במטריה הרגישה של דיני הבחירות (ראו והשוו: ברק מדינה ועשור ויצמן "המהפכה החוקתית או מהפכת זכויות האדם? על העיגון החוקתי של הנורמות המוסדיות" </w:t>
      </w:r>
      <w:r w:rsidRPr="003E4F42">
        <w:rPr>
          <w:rFonts w:ascii="Century" w:hAnsi="Century" w:cs="Miriam" w:hint="cs"/>
          <w:b/>
          <w:spacing w:val="0"/>
          <w:sz w:val="22"/>
          <w:szCs w:val="24"/>
          <w:rtl/>
        </w:rPr>
        <w:t xml:space="preserve">עיוני משפט </w:t>
      </w:r>
      <w:r w:rsidRPr="003E4F42">
        <w:rPr>
          <w:rFonts w:ascii="Century" w:hAnsi="Century" w:hint="cs"/>
          <w:sz w:val="22"/>
          <w:rtl/>
        </w:rPr>
        <w:t>מ 595, 645 (2017)</w:t>
      </w:r>
      <w:r w:rsidRPr="003E4F42">
        <w:rPr>
          <w:rFonts w:hint="cs"/>
          <w:rtl/>
        </w:rPr>
        <w:t xml:space="preserve">). </w:t>
      </w:r>
    </w:p>
    <w:p w:rsidR="001E6B43" w:rsidRPr="003E4F42" w:rsidRDefault="001E6B43" w:rsidP="001E6B43">
      <w:pPr>
        <w:pStyle w:val="Ruller41"/>
        <w:rPr>
          <w:rtl/>
        </w:rPr>
      </w:pPr>
    </w:p>
    <w:p w:rsidR="001E6B43" w:rsidRPr="003E4F42" w:rsidRDefault="001E6B43" w:rsidP="001E6B43">
      <w:pPr>
        <w:pStyle w:val="Ruller4"/>
        <w:rPr>
          <w:rtl/>
        </w:rPr>
      </w:pPr>
      <w:r w:rsidRPr="003E4F42">
        <w:rPr>
          <w:rFonts w:hint="cs"/>
          <w:rtl/>
        </w:rPr>
        <w:t xml:space="preserve">שאלת הנפקות החוקתית של פגם פרסונלי בדבר חקיקה היא שאלה מורכבת. בעבר, בית משפט זה היה מוכן להניח </w:t>
      </w:r>
      <w:r w:rsidRPr="003E4F42">
        <w:rPr>
          <w:rFonts w:hint="cs"/>
          <w:sz w:val="28"/>
          <w:rtl/>
        </w:rPr>
        <w:t>"כי ייתכנו מצבים שבהם חקיקת חוק ממניע פרסונאלי עשויה להוות פגיעה ב'עקרונות היסוד של השיטה' ולהצדיק את בטלותו של דבר החקיקה</w:t>
      </w:r>
      <w:r w:rsidRPr="003E4F42">
        <w:rPr>
          <w:rFonts w:hint="cs"/>
          <w:rtl/>
        </w:rPr>
        <w:t xml:space="preserve">" (עניין </w:t>
      </w:r>
      <w:r w:rsidRPr="003E4F42">
        <w:rPr>
          <w:rFonts w:ascii="Century" w:hAnsi="Century" w:cs="Miriam" w:hint="cs"/>
          <w:b/>
          <w:spacing w:val="0"/>
          <w:szCs w:val="24"/>
          <w:rtl/>
        </w:rPr>
        <w:t>הרפורמה ברשות החשמל</w:t>
      </w:r>
      <w:r w:rsidRPr="003E4F42">
        <w:rPr>
          <w:rFonts w:ascii="Century" w:hAnsi="Century" w:hint="cs"/>
          <w:rtl/>
        </w:rPr>
        <w:t xml:space="preserve">, פסקה 16; כן ראו והשוו ביחס למניע פרסונלי בחוקי יסוד, עניין </w:t>
      </w:r>
      <w:r w:rsidRPr="003E4F42">
        <w:rPr>
          <w:rFonts w:ascii="Century" w:hAnsi="Century" w:cs="Miriam" w:hint="cs"/>
          <w:b/>
          <w:spacing w:val="0"/>
          <w:szCs w:val="24"/>
          <w:rtl/>
        </w:rPr>
        <w:t>דרעי</w:t>
      </w:r>
      <w:r w:rsidRPr="003E4F42">
        <w:rPr>
          <w:rFonts w:ascii="Century" w:hAnsi="Century" w:hint="cs"/>
          <w:rtl/>
        </w:rPr>
        <w:t xml:space="preserve">, פסקאות 44-42 לפסק הדין של הנשיאה </w:t>
      </w:r>
      <w:r w:rsidRPr="003E4F42">
        <w:rPr>
          <w:rFonts w:ascii="Century" w:hAnsi="Century" w:cs="Miriam" w:hint="cs"/>
          <w:b/>
          <w:spacing w:val="0"/>
          <w:szCs w:val="24"/>
          <w:rtl/>
        </w:rPr>
        <w:t>א' חיות</w:t>
      </w:r>
      <w:r w:rsidRPr="003E4F42">
        <w:rPr>
          <w:rFonts w:ascii="Century" w:hAnsi="Century" w:hint="cs"/>
          <w:rtl/>
        </w:rPr>
        <w:t xml:space="preserve">; עניין </w:t>
      </w:r>
      <w:r w:rsidRPr="003E4F42">
        <w:rPr>
          <w:rFonts w:ascii="Century" w:hAnsi="Century" w:cs="Miriam" w:hint="eastAsia"/>
          <w:b/>
          <w:spacing w:val="0"/>
          <w:sz w:val="22"/>
          <w:szCs w:val="24"/>
          <w:rtl/>
        </w:rPr>
        <w:t>שפיר</w:t>
      </w:r>
      <w:r w:rsidRPr="003E4F42">
        <w:rPr>
          <w:rFonts w:ascii="Century" w:hAnsi="Century" w:hint="cs"/>
          <w:rtl/>
        </w:rPr>
        <w:t>, פסקה 43</w:t>
      </w:r>
      <w:r w:rsidRPr="003E4F42">
        <w:rPr>
          <w:rFonts w:ascii="Century" w:hAnsi="Century"/>
          <w:rtl/>
        </w:rPr>
        <w:t xml:space="preserve"> </w:t>
      </w:r>
      <w:r w:rsidRPr="003E4F42">
        <w:rPr>
          <w:rFonts w:ascii="Century" w:hAnsi="Century" w:hint="cs"/>
          <w:rtl/>
        </w:rPr>
        <w:t xml:space="preserve">לפסק הדין של הנשיאה </w:t>
      </w:r>
      <w:r w:rsidRPr="003E4F42">
        <w:rPr>
          <w:rFonts w:ascii="Century" w:hAnsi="Century" w:cs="Miriam" w:hint="cs"/>
          <w:b/>
          <w:spacing w:val="0"/>
          <w:sz w:val="22"/>
          <w:szCs w:val="24"/>
          <w:rtl/>
        </w:rPr>
        <w:t>א' חיות</w:t>
      </w:r>
      <w:r w:rsidRPr="003E4F42">
        <w:rPr>
          <w:rFonts w:hint="cs"/>
          <w:rtl/>
        </w:rPr>
        <w:t>). במקרה אחר עמד בית המשפט על הצורך לבחון קיומה של "</w:t>
      </w:r>
      <w:r w:rsidRPr="003E4F42">
        <w:rPr>
          <w:rFonts w:ascii="Times New Roman" w:hAnsi="Times New Roman" w:hint="cs"/>
          <w:rtl/>
        </w:rPr>
        <w:t>סיבה עניינית מדוע החוק יחול על קבוצה מצומצמת</w:t>
      </w:r>
      <w:r w:rsidRPr="003E4F42">
        <w:rPr>
          <w:rFonts w:hint="cs"/>
          <w:rtl/>
        </w:rPr>
        <w:t xml:space="preserve">" (עניין </w:t>
      </w:r>
      <w:r w:rsidRPr="003E4F42">
        <w:rPr>
          <w:rFonts w:ascii="Century" w:hAnsi="Century" w:cs="Miriam" w:hint="cs"/>
          <w:b/>
          <w:spacing w:val="0"/>
          <w:sz w:val="22"/>
          <w:szCs w:val="24"/>
          <w:rtl/>
        </w:rPr>
        <w:t>איתנית</w:t>
      </w:r>
      <w:r w:rsidRPr="003E4F42">
        <w:rPr>
          <w:rFonts w:ascii="Century" w:hAnsi="Century" w:hint="cs"/>
          <w:sz w:val="22"/>
          <w:rtl/>
        </w:rPr>
        <w:t xml:space="preserve">, פסקה </w:t>
      </w:r>
      <w:r w:rsidRPr="003E4F42">
        <w:rPr>
          <w:rFonts w:hint="cs"/>
          <w:rtl/>
        </w:rPr>
        <w:t xml:space="preserve">35; וראו בהקשר זה גם את החקיקה הפרסונלית שמובאת כדוגמה שם, בסיפת הפסקה). ובפרשה אחרת התקיים דיון בשאלה אם ראויה היא תכליתו של התיקון לחוק הבזק, התשמ"ב-1982 שעניינו בהכשרת שידוריו הלא חוקיים של תחנת הרדיו "ערוץ 7" (בג"ץ 1030/99 </w:t>
      </w:r>
      <w:r w:rsidRPr="003E4F42">
        <w:rPr>
          <w:rFonts w:ascii="Century" w:hAnsi="Century" w:cs="Miriam" w:hint="cs"/>
          <w:b/>
          <w:spacing w:val="0"/>
          <w:sz w:val="22"/>
          <w:szCs w:val="24"/>
          <w:rtl/>
        </w:rPr>
        <w:t>אורון נ' יו"ר הכנסת</w:t>
      </w:r>
      <w:r w:rsidRPr="003E4F42">
        <w:rPr>
          <w:rFonts w:ascii="Century" w:hAnsi="Century" w:hint="cs"/>
          <w:sz w:val="22"/>
          <w:rtl/>
        </w:rPr>
        <w:t>, פ"ד נו(3) 640, 665-664 (2002)</w:t>
      </w:r>
      <w:r w:rsidRPr="003E4F42">
        <w:rPr>
          <w:rFonts w:hint="cs"/>
          <w:rtl/>
        </w:rPr>
        <w:t>). המשותף לפרשות אלו הוא כי נוכח פגיעתו האפשרית בעקרון שלטון החוק, יש לבחון חוקתיותו של חוק שדבק בו פגם פרסונלי ב"בזכוכית מגדלת" (</w:t>
      </w:r>
      <w:r w:rsidRPr="003E4F42">
        <w:rPr>
          <w:rFonts w:ascii="Century" w:hAnsi="Century" w:hint="cs"/>
          <w:sz w:val="22"/>
          <w:rtl/>
        </w:rPr>
        <w:t xml:space="preserve">ראו והשוו: בג"ץ 971/99 </w:t>
      </w:r>
      <w:r w:rsidRPr="003E4F42">
        <w:rPr>
          <w:rFonts w:ascii="Century" w:hAnsi="Century" w:cs="Miriam" w:hint="cs"/>
          <w:b/>
          <w:spacing w:val="0"/>
          <w:sz w:val="22"/>
          <w:szCs w:val="24"/>
          <w:rtl/>
        </w:rPr>
        <w:t>התנועה למען איכות השלטון בישראל נ' ועדת הכנסת</w:t>
      </w:r>
      <w:r w:rsidRPr="003E4F42">
        <w:rPr>
          <w:rFonts w:ascii="Century" w:hAnsi="Century" w:hint="cs"/>
          <w:sz w:val="22"/>
          <w:rtl/>
        </w:rPr>
        <w:t>, פ"ד נו(6) 117, 173-172 (2002)</w:t>
      </w:r>
      <w:r w:rsidRPr="003E4F42">
        <w:rPr>
          <w:rFonts w:hint="cs"/>
          <w:rtl/>
        </w:rPr>
        <w:t xml:space="preserve">). לצד זאת, מאחר שהטענה כי בבסיס דבר חקיקה של הכנסת ניצבת תכלית פרסונלית חותרת תחת חזקת החוקתיות של החוק, ברי שעליה להישען על "תשתית ממשית" (עניין </w:t>
      </w:r>
      <w:r w:rsidRPr="003E4F42">
        <w:rPr>
          <w:rFonts w:ascii="Century" w:hAnsi="Century" w:cs="Miriam" w:hint="cs"/>
          <w:b/>
          <w:spacing w:val="0"/>
          <w:szCs w:val="24"/>
          <w:rtl/>
        </w:rPr>
        <w:t>הרפורמה ברשות החשמל</w:t>
      </w:r>
      <w:r w:rsidRPr="003E4F42">
        <w:rPr>
          <w:rFonts w:ascii="Century" w:hAnsi="Century" w:hint="cs"/>
          <w:rtl/>
        </w:rPr>
        <w:t xml:space="preserve">, פסקה </w:t>
      </w:r>
      <w:r w:rsidRPr="003E4F42">
        <w:rPr>
          <w:rFonts w:hint="cs"/>
          <w:rtl/>
        </w:rPr>
        <w:t xml:space="preserve">16; עניין </w:t>
      </w:r>
      <w:r w:rsidRPr="003E4F42">
        <w:rPr>
          <w:rFonts w:ascii="Century" w:hAnsi="Century" w:cs="Miriam" w:hint="cs"/>
          <w:b/>
          <w:spacing w:val="0"/>
          <w:szCs w:val="24"/>
          <w:rtl/>
        </w:rPr>
        <w:t>אבו עראר</w:t>
      </w:r>
      <w:r w:rsidRPr="003E4F42">
        <w:rPr>
          <w:rFonts w:ascii="Century" w:hAnsi="Century" w:hint="cs"/>
          <w:rtl/>
        </w:rPr>
        <w:t>, בעמ' 40</w:t>
      </w:r>
      <w:r w:rsidRPr="003E4F42">
        <w:rPr>
          <w:rFonts w:hint="cs"/>
          <w:rtl/>
        </w:rPr>
        <w:t>).</w:t>
      </w:r>
    </w:p>
    <w:p w:rsidR="001E6B43" w:rsidRPr="003E4F42" w:rsidRDefault="001E6B43" w:rsidP="001E6B43">
      <w:pPr>
        <w:pStyle w:val="Ruller41"/>
      </w:pPr>
    </w:p>
    <w:p w:rsidR="001E6B43" w:rsidRPr="003E4F42" w:rsidRDefault="001E6B43" w:rsidP="001E6B43">
      <w:pPr>
        <w:pStyle w:val="Ruller4"/>
      </w:pPr>
      <w:r w:rsidRPr="003E4F42">
        <w:rPr>
          <w:rFonts w:hint="cs"/>
          <w:rtl/>
        </w:rPr>
        <w:t xml:space="preserve">כפי שכבר הובהר לעיל, ניסוחו של תיקון מס' 53 אינו ניסוח פרסונלי, אך חקיקה יכולה להיות פרסונלית גם אם היא נחזית לבעלת תחולה כללית, בנסיבות שבהן המחוקק </w:t>
      </w:r>
      <w:r w:rsidRPr="003E4F42">
        <w:rPr>
          <w:rFonts w:hint="cs"/>
          <w:rtl/>
        </w:rPr>
        <w:lastRenderedPageBreak/>
        <w:t>יכול היה לזהות מראש מי האדם או האנשים שעליהם הוא יחול (ברק, הביקורת השיפוטית, בעמ' 1792; טמיר, חקיקה פרסונלית, בעמ' 177;</w:t>
      </w:r>
      <w:r w:rsidRPr="003E4F42">
        <w:rPr>
          <w:rFonts w:hint="eastAsia"/>
          <w:rtl/>
        </w:rPr>
        <w:t xml:space="preserve"> חיים</w:t>
      </w:r>
      <w:r w:rsidRPr="003E4F42">
        <w:rPr>
          <w:rtl/>
        </w:rPr>
        <w:t xml:space="preserve"> </w:t>
      </w:r>
      <w:r w:rsidRPr="003E4F42">
        <w:rPr>
          <w:rFonts w:hint="eastAsia"/>
          <w:rtl/>
        </w:rPr>
        <w:t>גנז</w:t>
      </w:r>
      <w:r w:rsidRPr="003E4F42">
        <w:rPr>
          <w:rtl/>
        </w:rPr>
        <w:t xml:space="preserve"> "</w:t>
      </w:r>
      <w:r w:rsidRPr="003E4F42">
        <w:rPr>
          <w:rFonts w:hint="eastAsia"/>
          <w:rtl/>
        </w:rPr>
        <w:t>על</w:t>
      </w:r>
      <w:r w:rsidRPr="003E4F42">
        <w:rPr>
          <w:rtl/>
        </w:rPr>
        <w:t xml:space="preserve"> </w:t>
      </w:r>
      <w:r w:rsidRPr="003E4F42">
        <w:rPr>
          <w:rFonts w:hint="eastAsia"/>
          <w:rtl/>
        </w:rPr>
        <w:t>כלליותן</w:t>
      </w:r>
      <w:r w:rsidRPr="003E4F42">
        <w:rPr>
          <w:rtl/>
        </w:rPr>
        <w:t xml:space="preserve"> </w:t>
      </w:r>
      <w:r w:rsidRPr="003E4F42">
        <w:rPr>
          <w:rFonts w:hint="eastAsia"/>
          <w:rtl/>
        </w:rPr>
        <w:t>של</w:t>
      </w:r>
      <w:r w:rsidRPr="003E4F42">
        <w:rPr>
          <w:rtl/>
        </w:rPr>
        <w:t xml:space="preserve"> </w:t>
      </w:r>
      <w:r w:rsidRPr="003E4F42">
        <w:rPr>
          <w:rFonts w:hint="eastAsia"/>
          <w:rtl/>
        </w:rPr>
        <w:t>נורמות</w:t>
      </w:r>
      <w:r w:rsidRPr="003E4F42">
        <w:rPr>
          <w:rtl/>
        </w:rPr>
        <w:t xml:space="preserve"> </w:t>
      </w:r>
      <w:r w:rsidRPr="003E4F42">
        <w:rPr>
          <w:rFonts w:hint="eastAsia"/>
          <w:rtl/>
        </w:rPr>
        <w:t>משפטיות</w:t>
      </w:r>
      <w:r w:rsidRPr="003E4F42">
        <w:rPr>
          <w:rtl/>
        </w:rPr>
        <w:t xml:space="preserve">" </w:t>
      </w:r>
      <w:r w:rsidRPr="003E4F42">
        <w:rPr>
          <w:rFonts w:ascii="Century" w:hAnsi="Century" w:cs="Miriam" w:hint="eastAsia"/>
          <w:b/>
          <w:spacing w:val="0"/>
          <w:sz w:val="22"/>
          <w:szCs w:val="24"/>
          <w:rtl/>
        </w:rPr>
        <w:t>עיוני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משפט</w:t>
      </w:r>
      <w:r w:rsidRPr="003E4F42">
        <w:rPr>
          <w:rtl/>
        </w:rPr>
        <w:t xml:space="preserve"> </w:t>
      </w:r>
      <w:r w:rsidRPr="003E4F42">
        <w:rPr>
          <w:rFonts w:hint="eastAsia"/>
          <w:rtl/>
        </w:rPr>
        <w:t>טז</w:t>
      </w:r>
      <w:r w:rsidRPr="003E4F42">
        <w:rPr>
          <w:rtl/>
        </w:rPr>
        <w:t xml:space="preserve"> 579, 583-580 (1991</w:t>
      </w:r>
      <w:r w:rsidRPr="003E4F42">
        <w:rPr>
          <w:rFonts w:hint="cs"/>
          <w:rtl/>
        </w:rPr>
        <w:t xml:space="preserve">)). במקרה דנן, כפי שהבהירה גם הכנסת בתצהיר התשובה מטעמה: "חוג חברי הוועדות הממונות בכלל, וחוג ראשי הוועדות הממונות בפרט, אשר רשאים להתמודד בבחירות הקרובות [...] ידוע ומצומצם בהיקפו עד מאוד" (שם, סעיף 124). זאת ועוד, במקרה דנן הומחש, "באותות ובמופתים", כי ביסוד החלופה הפרשנית בדבר תחולתו המידית של התיקון ניצבת תכלית פרסונלית </w:t>
      </w:r>
      <w:r w:rsidRPr="003E4F42">
        <w:rPr>
          <w:rtl/>
        </w:rPr>
        <w:t>–</w:t>
      </w:r>
      <w:r w:rsidRPr="003E4F42">
        <w:rPr>
          <w:rFonts w:hint="cs"/>
          <w:rtl/>
        </w:rPr>
        <w:t xml:space="preserve"> לאפשר לבועז יוסף להתמודד לראשות עיריית טבריה. עיצוב הנורמה המשפטית כך שתיטיב עם אדם ספציפי ללא הצדקה עניינית (הצדקה שחורגת מההצדקה הכללית לתיקון) </w:t>
      </w:r>
      <w:r w:rsidRPr="003E4F42">
        <w:rPr>
          <w:rtl/>
        </w:rPr>
        <w:t>–</w:t>
      </w:r>
      <w:r w:rsidRPr="003E4F42">
        <w:rPr>
          <w:rFonts w:hint="cs"/>
          <w:rtl/>
        </w:rPr>
        <w:t xml:space="preserve"> לא עולה בקנה אחד עם עקרון שלטון החוק. משכך, מתחייבת לכאורה כבר בשלב זה המסקנה כי תכלית השמירה על שלטון החוק משמיעה לנו כי התיקון לא יחול על מערכת הבחירות הקרובה.</w:t>
      </w:r>
    </w:p>
    <w:p w:rsidR="001E6B43" w:rsidRPr="003E4F42" w:rsidRDefault="001E6B43" w:rsidP="001E6B43">
      <w:pPr>
        <w:pStyle w:val="Ruller41"/>
      </w:pPr>
    </w:p>
    <w:p w:rsidR="001E6B43" w:rsidRPr="003E4F42" w:rsidRDefault="001E6B43" w:rsidP="001E6B43">
      <w:pPr>
        <w:pStyle w:val="Ruller4"/>
      </w:pPr>
      <w:r w:rsidRPr="003E4F42">
        <w:rPr>
          <w:rFonts w:hint="cs"/>
          <w:rtl/>
        </w:rPr>
        <w:t xml:space="preserve">לצד זאת, נטען לפנינו כי יש להבחין בין </w:t>
      </w:r>
      <w:r w:rsidRPr="003E4F42">
        <w:rPr>
          <w:rFonts w:ascii="Century" w:hAnsi="Century" w:cs="Miriam" w:hint="cs"/>
          <w:b/>
          <w:spacing w:val="0"/>
          <w:sz w:val="22"/>
          <w:szCs w:val="24"/>
          <w:rtl/>
        </w:rPr>
        <w:t>מניע פרסונלי</w:t>
      </w:r>
      <w:r w:rsidRPr="003E4F42">
        <w:rPr>
          <w:rFonts w:hint="cs"/>
          <w:rtl/>
        </w:rPr>
        <w:t xml:space="preserve"> שהוליד, בסופו של יום, דבר חקיקה כללי שחל על קבוצה בלתי מסוימת של אנשים; לבין </w:t>
      </w:r>
      <w:r w:rsidRPr="003E4F42">
        <w:rPr>
          <w:rFonts w:ascii="Century" w:hAnsi="Century" w:cs="Miriam" w:hint="cs"/>
          <w:b/>
          <w:spacing w:val="0"/>
          <w:sz w:val="22"/>
          <w:szCs w:val="24"/>
          <w:rtl/>
        </w:rPr>
        <w:t>תכלית פרסונלית</w:t>
      </w:r>
      <w:r w:rsidRPr="003E4F42">
        <w:rPr>
          <w:rFonts w:hint="cs"/>
          <w:rtl/>
        </w:rPr>
        <w:t>, שלפיה החוק כשלעצמו נועד לחול על קבוצה מסוימת של אנשים (ראו סעיפים 123-120 לתשובת הכנסת). אכן, דומה שבהבחנה זו יש ממש, ולא מן הנמנע שמניעים פרסונליים הולידו לא אחת הסדרים משפטיים שנקיים מפגם פרסונלי כזה או אחר. ברי בהקשר זה כי לשאלת תחולתו הרטרוספקטיביות של החוק זיקה ממשית למידת כלליותו, מאחר שתחולה רטרוספקטיבית מוליכה לכך שלפחות חלק מקבוצת נמעניו של החוק ידועה (הוראת מעבר עשויה במקרים מתאימים לרפא מאפיינים פרסונליים שכאלה; ראו והשוו:</w:t>
      </w:r>
      <w:r w:rsidR="002340E1" w:rsidRPr="003E4F42">
        <w:rPr>
          <w:rFonts w:hint="cs"/>
          <w:rtl/>
        </w:rPr>
        <w:t xml:space="preserve"> </w:t>
      </w:r>
      <w:r w:rsidRPr="003E4F42">
        <w:rPr>
          <w:rFonts w:hint="cs"/>
          <w:rtl/>
        </w:rPr>
        <w:t xml:space="preserve">טמיר, בעמ' 180; עניין </w:t>
      </w:r>
      <w:r w:rsidRPr="003E4F42">
        <w:rPr>
          <w:rFonts w:ascii="Century" w:hAnsi="Century" w:cs="Miriam" w:hint="cs"/>
          <w:b/>
          <w:spacing w:val="0"/>
          <w:sz w:val="22"/>
          <w:szCs w:val="24"/>
          <w:rtl/>
        </w:rPr>
        <w:t>ממשלת החילופים</w:t>
      </w:r>
      <w:r w:rsidRPr="003E4F42">
        <w:rPr>
          <w:rFonts w:ascii="Century" w:hAnsi="Century" w:hint="cs"/>
          <w:sz w:val="22"/>
          <w:rtl/>
        </w:rPr>
        <w:t xml:space="preserve">, פסקה 138 לפסק הדין של המשנה לנשיאה (בדימ') </w:t>
      </w:r>
      <w:r w:rsidRPr="003E4F42">
        <w:rPr>
          <w:rFonts w:ascii="Century" w:hAnsi="Century" w:cs="Miriam" w:hint="cs"/>
          <w:b/>
          <w:spacing w:val="0"/>
          <w:sz w:val="22"/>
          <w:szCs w:val="24"/>
          <w:rtl/>
        </w:rPr>
        <w:t>ח' מלצר</w:t>
      </w:r>
      <w:r w:rsidRPr="003E4F42">
        <w:rPr>
          <w:rFonts w:hint="cs"/>
          <w:rtl/>
        </w:rPr>
        <w:t>). בהקשר זה צוין באחת הפרשות כי "</w:t>
      </w:r>
      <w:r w:rsidRPr="003E4F42">
        <w:rPr>
          <w:rFonts w:ascii="FrankRuehl" w:hAnsi="FrankRuehl"/>
          <w:color w:val="000000"/>
          <w:sz w:val="28"/>
          <w:rtl/>
        </w:rPr>
        <w:t>הזהירות מתבקשת בהגדרת חוק פרסונאלי, שכן לעיתים הניסיון של מקרה מסוים מביא לעיגון לגיטימי של נורמה כללית – או שיש צידוק יוצא דופן לקביעת נורמה פרטנית</w:t>
      </w:r>
      <w:r w:rsidRPr="003E4F42">
        <w:rPr>
          <w:rFonts w:hint="cs"/>
          <w:rtl/>
        </w:rPr>
        <w:t xml:space="preserve">" (בג"ץ 8260/16 </w:t>
      </w:r>
      <w:r w:rsidRPr="003E4F42">
        <w:rPr>
          <w:rFonts w:ascii="Century" w:hAnsi="Century" w:cs="Miriam" w:hint="cs"/>
          <w:b/>
          <w:spacing w:val="0"/>
          <w:sz w:val="22"/>
          <w:szCs w:val="24"/>
          <w:rtl/>
        </w:rPr>
        <w:t>המרכז האקדמי למשפט ועסקים נ' כנסת ישראל</w:t>
      </w:r>
      <w:r w:rsidRPr="003E4F42">
        <w:rPr>
          <w:rFonts w:ascii="Century" w:hAnsi="Century" w:hint="cs"/>
          <w:sz w:val="22"/>
          <w:rtl/>
        </w:rPr>
        <w:t xml:space="preserve">, פסקה 6 לפסק הדין של השופט </w:t>
      </w:r>
      <w:r w:rsidRPr="003E4F42">
        <w:rPr>
          <w:rFonts w:ascii="Century" w:hAnsi="Century" w:cs="Miriam" w:hint="cs"/>
          <w:b/>
          <w:spacing w:val="0"/>
          <w:sz w:val="22"/>
          <w:szCs w:val="24"/>
          <w:rtl/>
        </w:rPr>
        <w:t>נ' הנדל</w:t>
      </w:r>
      <w:r w:rsidRPr="003E4F42">
        <w:rPr>
          <w:rFonts w:ascii="Century" w:hAnsi="Century" w:hint="cs"/>
          <w:sz w:val="22"/>
          <w:rtl/>
        </w:rPr>
        <w:t xml:space="preserve"> (6.9.2017)</w:t>
      </w:r>
      <w:r w:rsidRPr="003E4F42">
        <w:rPr>
          <w:rFonts w:hint="cs"/>
          <w:rtl/>
        </w:rPr>
        <w:t xml:space="preserve">). </w:t>
      </w:r>
    </w:p>
    <w:p w:rsidR="001E6B43" w:rsidRPr="003E4F42" w:rsidRDefault="001E6B43" w:rsidP="001E6B43">
      <w:pPr>
        <w:pStyle w:val="Ruller4"/>
        <w:numPr>
          <w:ilvl w:val="0"/>
          <w:numId w:val="0"/>
        </w:numPr>
        <w:rPr>
          <w:rtl/>
        </w:rPr>
      </w:pPr>
    </w:p>
    <w:p w:rsidR="001E6B43" w:rsidRPr="003E4F42" w:rsidRDefault="001E6B43" w:rsidP="001E6B43">
      <w:pPr>
        <w:pStyle w:val="Ruller4"/>
        <w:numPr>
          <w:ilvl w:val="0"/>
          <w:numId w:val="0"/>
        </w:numPr>
        <w:rPr>
          <w:rtl/>
        </w:rPr>
      </w:pPr>
      <w:r w:rsidRPr="003E4F42">
        <w:rPr>
          <w:rtl/>
        </w:rPr>
        <w:tab/>
      </w:r>
      <w:r w:rsidRPr="003E4F42">
        <w:rPr>
          <w:rFonts w:hint="cs"/>
          <w:rtl/>
        </w:rPr>
        <w:t xml:space="preserve">עם זאת, יש לציין כי הבחנה זו בין מניע פרסונלי לבין תכלית פרסונלית אינה תמיד ברורה וחדה ואף אינה שגורה, כפי שיעיד למשל השימוש שנעשה במונחים אלה בערבוביה (ראו למשל פרוטוקול הישיבה מיום 5.6.2023, בעמ' 5). כך או אחרת, אין הכרח לטעת מסמרות בסוגיה זו במקרה שלפנינו, מאחר שעל </w:t>
      </w:r>
      <w:r w:rsidRPr="003E4F42">
        <w:rPr>
          <w:rFonts w:ascii="Century" w:hAnsi="Century" w:cs="Miriam" w:hint="cs"/>
          <w:b/>
          <w:spacing w:val="0"/>
          <w:sz w:val="22"/>
          <w:szCs w:val="24"/>
          <w:rtl/>
        </w:rPr>
        <w:t>המניע</w:t>
      </w:r>
      <w:r w:rsidRPr="003E4F42">
        <w:rPr>
          <w:rFonts w:hint="cs"/>
          <w:rtl/>
        </w:rPr>
        <w:t xml:space="preserve"> </w:t>
      </w:r>
      <w:r w:rsidRPr="003E4F42">
        <w:rPr>
          <w:rFonts w:ascii="Century" w:hAnsi="Century" w:cs="Miriam" w:hint="cs"/>
          <w:b/>
          <w:spacing w:val="0"/>
          <w:sz w:val="22"/>
          <w:szCs w:val="24"/>
          <w:rtl/>
        </w:rPr>
        <w:t>הפרסונלי</w:t>
      </w:r>
      <w:r w:rsidRPr="003E4F42">
        <w:rPr>
          <w:rFonts w:hint="cs"/>
          <w:rtl/>
        </w:rPr>
        <w:t xml:space="preserve"> לתיקון אין חולק (ראו בסעיף 120 לתשובת הכנסת) ו</w:t>
      </w:r>
      <w:r w:rsidRPr="003E4F42">
        <w:rPr>
          <w:rFonts w:ascii="Century" w:hAnsi="Century" w:cs="Miriam" w:hint="cs"/>
          <w:b/>
          <w:spacing w:val="0"/>
          <w:sz w:val="22"/>
          <w:szCs w:val="24"/>
          <w:rtl/>
        </w:rPr>
        <w:t>תכליתו הפרסונלית</w:t>
      </w:r>
      <w:r w:rsidRPr="003E4F42">
        <w:rPr>
          <w:rFonts w:hint="cs"/>
          <w:rtl/>
        </w:rPr>
        <w:t xml:space="preserve"> של התיקון עולה באופן ברור ומובהק מהליך החקיקה. משכך, אני סבור כי עקרון שלטון החוק, שמחייב כי </w:t>
      </w:r>
      <w:r w:rsidRPr="003E4F42">
        <w:rPr>
          <w:rFonts w:hint="cs"/>
          <w:rtl/>
        </w:rPr>
        <w:lastRenderedPageBreak/>
        <w:t xml:space="preserve">נורמות שיוצאות מידי המחוקק תהיינה, ככלל, כלליות, מטה אף הוא את הכף לעבר הפרשנות שתיקון מס' 53 לא יחול על מערכת הבחירות הקרבה. </w:t>
      </w: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t>מסקנות: פרשנות תחולת תיקון מס' 53 בראי תכליותיו</w:t>
      </w:r>
    </w:p>
    <w:p w:rsidR="001E6B43" w:rsidRPr="003E4F42" w:rsidRDefault="001E6B43" w:rsidP="001E6B43">
      <w:pPr>
        <w:pStyle w:val="Ruller41"/>
        <w:rPr>
          <w:rFonts w:ascii="Century" w:hAnsi="Century"/>
          <w:rtl/>
        </w:rPr>
      </w:pPr>
    </w:p>
    <w:p w:rsidR="001E6B43" w:rsidRPr="003E4F42" w:rsidRDefault="001E6B43" w:rsidP="001E6B43">
      <w:pPr>
        <w:pStyle w:val="Ruller4"/>
      </w:pPr>
      <w:r w:rsidRPr="003E4F42">
        <w:rPr>
          <w:rFonts w:hint="cs"/>
          <w:rtl/>
        </w:rPr>
        <w:t xml:space="preserve">הגענו לסיומו של המסע הפרשני. כפי שראינו, לשונו של תיקון מס' 53 אינה כוללת הוראה בדבר תחולתו במישור הזמן, ובפרט לעניין תחולתו על הבחירות הקרובות לרשויות המקומיות. בחינת כוונתו של המחוקק מעלה כי לצד קידומן העקרוני של הזכות לבחור והזכות להיבחר, ניצבה תכלית פרסונלית מובהקת והיא מתן האפשרות לראש הוועדה הממונה בטבריה להתמודד בבחירות הקרובות. אכן, לצדה של תכלית זו ניתן לאתר כוונה של המחוקק שלא לשנות את כללי הבחירות תוך כדי תקופת הבחירות; אך דומה כי במוקד הליך החקיקה ניצבה התכלית לאפשר לבועז יוסף להתמודד בבחירות הקרובות לרשויות המקומיות. אל מול תכליות סובייקטיביות אלו ניצבות תכליותיה האובייקטיבית של תחולת החוק: החזקה נגד תחולה למפרע; הכלל שאין משנים את כללי הבחירות בתוך תקופת הבחירות; ועקרון שלטון החוק שמחייב שחקיקה תהא, ככלל, כללית ולא פרסונלית. התכלית הסובייקטיבית והתכלית האובייקטיבית לא עולות בקנה אחד: הראשונה משמיעה כי התיקון יחול גם בבחירות המקומיות הקרובות; ואילו האחרונה משמיעה כי התיקון לא יחול בבחירות אלו. </w:t>
      </w:r>
    </w:p>
    <w:p w:rsidR="001E6B43" w:rsidRPr="003E4F42" w:rsidRDefault="001E6B43" w:rsidP="001E6B43">
      <w:pPr>
        <w:pStyle w:val="Ruller4"/>
        <w:numPr>
          <w:ilvl w:val="0"/>
          <w:numId w:val="0"/>
        </w:numPr>
        <w:rPr>
          <w:rtl/>
        </w:rPr>
      </w:pPr>
    </w:p>
    <w:p w:rsidR="001E6B43" w:rsidRDefault="001E6B43" w:rsidP="001E6B43">
      <w:pPr>
        <w:pStyle w:val="Ruller4"/>
        <w:numPr>
          <w:ilvl w:val="0"/>
          <w:numId w:val="0"/>
        </w:numPr>
        <w:rPr>
          <w:rtl/>
        </w:rPr>
      </w:pPr>
      <w:r w:rsidRPr="003E4F42">
        <w:rPr>
          <w:rtl/>
        </w:rPr>
        <w:tab/>
      </w:r>
      <w:r w:rsidRPr="003E4F42">
        <w:rPr>
          <w:rFonts w:hint="cs"/>
          <w:rtl/>
        </w:rPr>
        <w:t xml:space="preserve">בהתנגשות זו בין התכלית הסובייקטיבית לבין התכלית האובייקטיבית, עמדתי היא כי יש לבכר את האחרונה. כידוע, </w:t>
      </w:r>
      <w:r w:rsidRPr="003E4F42">
        <w:rPr>
          <w:rFonts w:hint="eastAsia"/>
          <w:rtl/>
        </w:rPr>
        <w:t>התכלית</w:t>
      </w:r>
      <w:r w:rsidRPr="003E4F42">
        <w:rPr>
          <w:rtl/>
        </w:rPr>
        <w:t xml:space="preserve"> </w:t>
      </w:r>
      <w:r w:rsidRPr="003E4F42">
        <w:rPr>
          <w:rFonts w:hint="eastAsia"/>
          <w:rtl/>
        </w:rPr>
        <w:t>הסובייקטיבית</w:t>
      </w:r>
      <w:r w:rsidRPr="003E4F42">
        <w:rPr>
          <w:rtl/>
        </w:rPr>
        <w:t xml:space="preserve"> </w:t>
      </w:r>
      <w:r w:rsidRPr="003E4F42">
        <w:rPr>
          <w:rFonts w:hint="eastAsia"/>
          <w:rtl/>
        </w:rPr>
        <w:t>ה</w:t>
      </w:r>
      <w:r w:rsidRPr="003E4F42">
        <w:rPr>
          <w:rFonts w:hint="cs"/>
          <w:rtl/>
        </w:rPr>
        <w:t>י</w:t>
      </w:r>
      <w:r w:rsidRPr="003E4F42">
        <w:rPr>
          <w:rFonts w:hint="eastAsia"/>
          <w:rtl/>
        </w:rPr>
        <w:t>א</w:t>
      </w:r>
      <w:r w:rsidRPr="003E4F42">
        <w:rPr>
          <w:rtl/>
        </w:rPr>
        <w:t xml:space="preserve"> </w:t>
      </w:r>
      <w:r w:rsidRPr="003E4F42">
        <w:rPr>
          <w:rFonts w:hint="cs"/>
          <w:rtl/>
        </w:rPr>
        <w:t>אך רכיב אחד מ</w:t>
      </w:r>
      <w:r w:rsidRPr="003E4F42">
        <w:rPr>
          <w:rFonts w:hint="eastAsia"/>
          <w:rtl/>
        </w:rPr>
        <w:t>מרכיבי</w:t>
      </w:r>
      <w:r w:rsidRPr="003E4F42">
        <w:rPr>
          <w:rtl/>
        </w:rPr>
        <w:t xml:space="preserve"> </w:t>
      </w:r>
      <w:r w:rsidRPr="003E4F42">
        <w:rPr>
          <w:rFonts w:hint="eastAsia"/>
          <w:rtl/>
        </w:rPr>
        <w:t>תורת</w:t>
      </w:r>
      <w:r w:rsidRPr="003E4F42">
        <w:rPr>
          <w:rtl/>
        </w:rPr>
        <w:t xml:space="preserve"> </w:t>
      </w:r>
      <w:r w:rsidRPr="003E4F42">
        <w:rPr>
          <w:rFonts w:hint="eastAsia"/>
          <w:rtl/>
        </w:rPr>
        <w:t>הפרשנות</w:t>
      </w:r>
      <w:r w:rsidRPr="003E4F42">
        <w:rPr>
          <w:rtl/>
        </w:rPr>
        <w:t xml:space="preserve">, </w:t>
      </w:r>
      <w:r w:rsidRPr="003E4F42">
        <w:rPr>
          <w:rFonts w:hint="eastAsia"/>
          <w:rtl/>
        </w:rPr>
        <w:t>ואין</w:t>
      </w:r>
      <w:r w:rsidRPr="003E4F42">
        <w:rPr>
          <w:rtl/>
        </w:rPr>
        <w:t xml:space="preserve"> </w:t>
      </w:r>
      <w:r w:rsidRPr="003E4F42">
        <w:rPr>
          <w:rFonts w:hint="eastAsia"/>
          <w:rtl/>
        </w:rPr>
        <w:t>ליתן</w:t>
      </w:r>
      <w:r w:rsidRPr="003E4F42">
        <w:rPr>
          <w:rtl/>
        </w:rPr>
        <w:t xml:space="preserve"> </w:t>
      </w:r>
      <w:r w:rsidRPr="003E4F42">
        <w:rPr>
          <w:rFonts w:hint="eastAsia"/>
          <w:rtl/>
        </w:rPr>
        <w:t>ל</w:t>
      </w:r>
      <w:r w:rsidRPr="003E4F42">
        <w:rPr>
          <w:rFonts w:hint="cs"/>
          <w:rtl/>
        </w:rPr>
        <w:t>ה</w:t>
      </w:r>
      <w:r w:rsidRPr="003E4F42">
        <w:rPr>
          <w:rtl/>
        </w:rPr>
        <w:t xml:space="preserve"> </w:t>
      </w:r>
      <w:r w:rsidRPr="003E4F42">
        <w:rPr>
          <w:rFonts w:hint="eastAsia"/>
          <w:rtl/>
        </w:rPr>
        <w:t>משקל</w:t>
      </w:r>
      <w:r w:rsidRPr="003E4F42">
        <w:rPr>
          <w:rtl/>
        </w:rPr>
        <w:t xml:space="preserve"> </w:t>
      </w:r>
      <w:r w:rsidRPr="003E4F42">
        <w:rPr>
          <w:rFonts w:hint="eastAsia"/>
          <w:rtl/>
        </w:rPr>
        <w:t>מכריע</w:t>
      </w:r>
      <w:r w:rsidRPr="003E4F42">
        <w:rPr>
          <w:rtl/>
        </w:rPr>
        <w:t xml:space="preserve"> </w:t>
      </w:r>
      <w:r w:rsidRPr="003E4F42">
        <w:rPr>
          <w:rFonts w:hint="eastAsia"/>
          <w:rtl/>
        </w:rPr>
        <w:t>ביחס</w:t>
      </w:r>
      <w:r w:rsidRPr="003E4F42">
        <w:rPr>
          <w:rtl/>
        </w:rPr>
        <w:t xml:space="preserve"> </w:t>
      </w:r>
      <w:r w:rsidRPr="003E4F42">
        <w:rPr>
          <w:rFonts w:hint="eastAsia"/>
          <w:rtl/>
        </w:rPr>
        <w:t>לתכלית</w:t>
      </w:r>
      <w:r w:rsidRPr="003E4F42">
        <w:rPr>
          <w:rtl/>
        </w:rPr>
        <w:t xml:space="preserve"> </w:t>
      </w:r>
      <w:r w:rsidRPr="003E4F42">
        <w:rPr>
          <w:rFonts w:hint="eastAsia"/>
          <w:rtl/>
        </w:rPr>
        <w:t>האובייקטיבית</w:t>
      </w:r>
      <w:r w:rsidRPr="003E4F42">
        <w:rPr>
          <w:rtl/>
        </w:rPr>
        <w:t>.</w:t>
      </w:r>
      <w:r w:rsidRPr="003E4F42">
        <w:rPr>
          <w:rFonts w:hint="cs"/>
          <w:rtl/>
        </w:rPr>
        <w:t xml:space="preserve"> </w:t>
      </w:r>
      <w:r w:rsidRPr="003E4F42">
        <w:rPr>
          <w:rFonts w:hint="eastAsia"/>
          <w:rtl/>
        </w:rPr>
        <w:t>כאשר</w:t>
      </w:r>
      <w:r w:rsidRPr="003E4F42">
        <w:rPr>
          <w:rtl/>
        </w:rPr>
        <w:t xml:space="preserve"> </w:t>
      </w:r>
      <w:r w:rsidRPr="003E4F42">
        <w:rPr>
          <w:rFonts w:hint="eastAsia"/>
          <w:rtl/>
        </w:rPr>
        <w:t>התכלית</w:t>
      </w:r>
      <w:r w:rsidRPr="003E4F42">
        <w:rPr>
          <w:rtl/>
        </w:rPr>
        <w:t xml:space="preserve"> </w:t>
      </w:r>
      <w:r w:rsidRPr="003E4F42">
        <w:rPr>
          <w:rFonts w:hint="eastAsia"/>
          <w:rtl/>
        </w:rPr>
        <w:t>הסובייקטיבית</w:t>
      </w:r>
      <w:r w:rsidRPr="003E4F42">
        <w:rPr>
          <w:rtl/>
        </w:rPr>
        <w:t xml:space="preserve"> </w:t>
      </w:r>
      <w:r w:rsidRPr="003E4F42">
        <w:rPr>
          <w:rFonts w:hint="eastAsia"/>
          <w:rtl/>
        </w:rPr>
        <w:t>אינה</w:t>
      </w:r>
      <w:r w:rsidRPr="003E4F42">
        <w:rPr>
          <w:rtl/>
        </w:rPr>
        <w:t xml:space="preserve"> </w:t>
      </w:r>
      <w:r w:rsidRPr="003E4F42">
        <w:rPr>
          <w:rFonts w:hint="eastAsia"/>
          <w:rtl/>
        </w:rPr>
        <w:t>מעוגנת</w:t>
      </w:r>
      <w:r w:rsidRPr="003E4F42">
        <w:rPr>
          <w:rtl/>
        </w:rPr>
        <w:t xml:space="preserve"> </w:t>
      </w:r>
      <w:r w:rsidRPr="003E4F42">
        <w:rPr>
          <w:rFonts w:hint="eastAsia"/>
          <w:rtl/>
        </w:rPr>
        <w:t>בלשון</w:t>
      </w:r>
      <w:r w:rsidRPr="003E4F42">
        <w:rPr>
          <w:rtl/>
        </w:rPr>
        <w:t xml:space="preserve"> </w:t>
      </w:r>
      <w:r w:rsidRPr="003E4F42">
        <w:rPr>
          <w:rFonts w:hint="eastAsia"/>
          <w:rtl/>
        </w:rPr>
        <w:t>החיקוק</w:t>
      </w:r>
      <w:r w:rsidRPr="003E4F42">
        <w:rPr>
          <w:rtl/>
        </w:rPr>
        <w:t xml:space="preserve"> "</w:t>
      </w:r>
      <w:r w:rsidRPr="003E4F42">
        <w:rPr>
          <w:rFonts w:hint="eastAsia"/>
          <w:rtl/>
        </w:rPr>
        <w:t>בצורה</w:t>
      </w:r>
      <w:r w:rsidRPr="003E4F42">
        <w:rPr>
          <w:rtl/>
        </w:rPr>
        <w:t xml:space="preserve"> </w:t>
      </w:r>
      <w:r w:rsidRPr="003E4F42">
        <w:rPr>
          <w:rFonts w:hint="eastAsia"/>
          <w:rtl/>
        </w:rPr>
        <w:t>מפורשת</w:t>
      </w:r>
      <w:r w:rsidRPr="003E4F42">
        <w:rPr>
          <w:rtl/>
        </w:rPr>
        <w:t xml:space="preserve">, </w:t>
      </w:r>
      <w:r w:rsidRPr="003E4F42">
        <w:rPr>
          <w:rFonts w:hint="eastAsia"/>
          <w:rtl/>
        </w:rPr>
        <w:t>חד</w:t>
      </w:r>
      <w:r w:rsidRPr="003E4F42">
        <w:rPr>
          <w:rtl/>
        </w:rPr>
        <w:t xml:space="preserve"> </w:t>
      </w:r>
      <w:r w:rsidRPr="003E4F42">
        <w:rPr>
          <w:rFonts w:hint="eastAsia"/>
          <w:rtl/>
        </w:rPr>
        <w:t>משמעית</w:t>
      </w:r>
      <w:r w:rsidRPr="003E4F42">
        <w:rPr>
          <w:rtl/>
        </w:rPr>
        <w:t xml:space="preserve"> </w:t>
      </w:r>
      <w:r w:rsidRPr="003E4F42">
        <w:rPr>
          <w:rFonts w:hint="eastAsia"/>
          <w:rtl/>
        </w:rPr>
        <w:t>וברורה</w:t>
      </w:r>
      <w:r w:rsidRPr="003E4F42">
        <w:rPr>
          <w:rtl/>
        </w:rPr>
        <w:t xml:space="preserve">", </w:t>
      </w:r>
      <w:r w:rsidRPr="003E4F42">
        <w:rPr>
          <w:rFonts w:hint="eastAsia"/>
          <w:rtl/>
        </w:rPr>
        <w:t>בכוחן</w:t>
      </w:r>
      <w:r w:rsidRPr="003E4F42">
        <w:rPr>
          <w:rtl/>
        </w:rPr>
        <w:t xml:space="preserve"> </w:t>
      </w:r>
      <w:r w:rsidRPr="003E4F42">
        <w:rPr>
          <w:rFonts w:hint="eastAsia"/>
          <w:rtl/>
        </w:rPr>
        <w:t>של</w:t>
      </w:r>
      <w:r w:rsidRPr="003E4F42">
        <w:rPr>
          <w:rtl/>
        </w:rPr>
        <w:t xml:space="preserve"> </w:t>
      </w:r>
      <w:r w:rsidRPr="003E4F42">
        <w:rPr>
          <w:rFonts w:hint="eastAsia"/>
          <w:rtl/>
        </w:rPr>
        <w:t>התכליות</w:t>
      </w:r>
      <w:r w:rsidRPr="003E4F42">
        <w:rPr>
          <w:rtl/>
        </w:rPr>
        <w:t xml:space="preserve"> </w:t>
      </w:r>
      <w:r w:rsidRPr="003E4F42">
        <w:rPr>
          <w:rFonts w:hint="eastAsia"/>
          <w:rtl/>
        </w:rPr>
        <w:t>האובייקטיביות</w:t>
      </w:r>
      <w:r w:rsidRPr="003E4F42">
        <w:rPr>
          <w:rtl/>
        </w:rPr>
        <w:t xml:space="preserve"> </w:t>
      </w:r>
      <w:r w:rsidRPr="003E4F42">
        <w:rPr>
          <w:rFonts w:hint="eastAsia"/>
          <w:rtl/>
        </w:rPr>
        <w:t>לגבור</w:t>
      </w:r>
      <w:r w:rsidRPr="003E4F42">
        <w:rPr>
          <w:rtl/>
        </w:rPr>
        <w:t xml:space="preserve"> (</w:t>
      </w:r>
      <w:r w:rsidRPr="003E4F42">
        <w:rPr>
          <w:rFonts w:hint="cs"/>
          <w:rtl/>
        </w:rPr>
        <w:t xml:space="preserve">עניין </w:t>
      </w:r>
      <w:r w:rsidRPr="003E4F42">
        <w:rPr>
          <w:rFonts w:ascii="Century" w:hAnsi="Century" w:cs="Miriam" w:hint="cs"/>
          <w:b/>
          <w:spacing w:val="0"/>
          <w:sz w:val="22"/>
          <w:szCs w:val="24"/>
          <w:rtl/>
        </w:rPr>
        <w:t>תומר ורשה</w:t>
      </w:r>
      <w:r w:rsidRPr="003E4F42">
        <w:rPr>
          <w:rFonts w:ascii="Century" w:hAnsi="Century" w:hint="cs"/>
          <w:sz w:val="22"/>
          <w:rtl/>
        </w:rPr>
        <w:t xml:space="preserve">, פסקה 43; </w:t>
      </w:r>
      <w:r w:rsidRPr="003E4F42">
        <w:rPr>
          <w:rFonts w:ascii="Century" w:hAnsi="Century" w:hint="eastAsia"/>
          <w:sz w:val="22"/>
          <w:rtl/>
        </w:rPr>
        <w:t>דנג</w:t>
      </w:r>
      <w:r w:rsidRPr="003E4F42">
        <w:rPr>
          <w:rtl/>
        </w:rPr>
        <w:t>"</w:t>
      </w:r>
      <w:r w:rsidRPr="003E4F42">
        <w:rPr>
          <w:rFonts w:hint="eastAsia"/>
          <w:rtl/>
        </w:rPr>
        <w:t>ץ</w:t>
      </w:r>
      <w:r w:rsidRPr="003E4F42">
        <w:rPr>
          <w:rtl/>
        </w:rPr>
        <w:t xml:space="preserve"> 5026/16</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גיני</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הרבנות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הראשית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לישראל</w:t>
      </w:r>
      <w:r w:rsidRPr="003E4F42">
        <w:rPr>
          <w:rFonts w:ascii="Century" w:hAnsi="Century"/>
          <w:sz w:val="22"/>
          <w:rtl/>
        </w:rPr>
        <w:t>,</w:t>
      </w:r>
      <w:r w:rsidRPr="003E4F42">
        <w:rPr>
          <w:rtl/>
        </w:rPr>
        <w:t xml:space="preserve"> </w:t>
      </w:r>
      <w:r w:rsidRPr="003E4F42">
        <w:rPr>
          <w:rFonts w:hint="eastAsia"/>
          <w:rtl/>
        </w:rPr>
        <w:t>פסקאות</w:t>
      </w:r>
      <w:r w:rsidRPr="003E4F42">
        <w:rPr>
          <w:rtl/>
        </w:rPr>
        <w:t xml:space="preserve"> 25-24 </w:t>
      </w:r>
      <w:r w:rsidRPr="003E4F42">
        <w:rPr>
          <w:rFonts w:hint="cs"/>
          <w:rtl/>
        </w:rPr>
        <w:t xml:space="preserve">לפסק הדין של הנשיאה </w:t>
      </w:r>
      <w:r w:rsidRPr="003E4F42">
        <w:rPr>
          <w:rFonts w:ascii="Century" w:hAnsi="Century" w:cs="Miriam" w:hint="cs"/>
          <w:b/>
          <w:spacing w:val="0"/>
          <w:sz w:val="22"/>
          <w:szCs w:val="24"/>
          <w:rtl/>
        </w:rPr>
        <w:t xml:space="preserve">מ' נאור </w:t>
      </w:r>
      <w:r w:rsidRPr="003E4F42">
        <w:rPr>
          <w:rtl/>
        </w:rPr>
        <w:t xml:space="preserve">(12.9.2017); </w:t>
      </w:r>
      <w:r w:rsidRPr="003E4F42">
        <w:rPr>
          <w:rFonts w:hint="eastAsia"/>
          <w:rtl/>
        </w:rPr>
        <w:t>בג</w:t>
      </w:r>
      <w:r w:rsidRPr="003E4F42">
        <w:rPr>
          <w:rtl/>
        </w:rPr>
        <w:t>"</w:t>
      </w:r>
      <w:r w:rsidRPr="003E4F42">
        <w:rPr>
          <w:rFonts w:hint="eastAsia"/>
          <w:rtl/>
        </w:rPr>
        <w:t>ץ</w:t>
      </w:r>
      <w:r w:rsidRPr="003E4F42">
        <w:rPr>
          <w:rtl/>
        </w:rPr>
        <w:t xml:space="preserve"> 3262/95 </w:t>
      </w:r>
      <w:r w:rsidRPr="003E4F42">
        <w:rPr>
          <w:rFonts w:ascii="Century" w:hAnsi="Century" w:cs="Miriam" w:hint="eastAsia"/>
          <w:b/>
          <w:spacing w:val="0"/>
          <w:sz w:val="22"/>
          <w:szCs w:val="24"/>
          <w:rtl/>
        </w:rPr>
        <w:t>פורז</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נ</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ממשלת</w:t>
      </w:r>
      <w:r w:rsidRPr="003E4F42">
        <w:rPr>
          <w:rFonts w:ascii="Century" w:hAnsi="Century" w:cs="Miriam"/>
          <w:b/>
          <w:spacing w:val="0"/>
          <w:sz w:val="22"/>
          <w:szCs w:val="24"/>
          <w:rtl/>
        </w:rPr>
        <w:t xml:space="preserve"> </w:t>
      </w:r>
      <w:r w:rsidRPr="003E4F42">
        <w:rPr>
          <w:rFonts w:ascii="Century" w:hAnsi="Century" w:cs="Miriam" w:hint="eastAsia"/>
          <w:b/>
          <w:spacing w:val="0"/>
          <w:sz w:val="22"/>
          <w:szCs w:val="24"/>
          <w:rtl/>
        </w:rPr>
        <w:t>ישראל</w:t>
      </w:r>
      <w:r w:rsidRPr="003E4F42">
        <w:rPr>
          <w:rtl/>
        </w:rPr>
        <w:t xml:space="preserve">, </w:t>
      </w:r>
      <w:r w:rsidRPr="003E4F42">
        <w:rPr>
          <w:rFonts w:hint="eastAsia"/>
          <w:rtl/>
        </w:rPr>
        <w:t>פ</w:t>
      </w:r>
      <w:r w:rsidRPr="003E4F42">
        <w:rPr>
          <w:rtl/>
        </w:rPr>
        <w:t>"</w:t>
      </w:r>
      <w:r w:rsidRPr="003E4F42">
        <w:rPr>
          <w:rFonts w:hint="eastAsia"/>
          <w:rtl/>
        </w:rPr>
        <w:t>ד</w:t>
      </w:r>
      <w:r w:rsidRPr="003E4F42">
        <w:rPr>
          <w:rtl/>
        </w:rPr>
        <w:t xml:space="preserve"> </w:t>
      </w:r>
      <w:r w:rsidRPr="003E4F42">
        <w:rPr>
          <w:rFonts w:hint="eastAsia"/>
          <w:rtl/>
        </w:rPr>
        <w:t>מט</w:t>
      </w:r>
      <w:r w:rsidRPr="003E4F42">
        <w:rPr>
          <w:rtl/>
        </w:rPr>
        <w:t>(3) 153, 158 (1995)).</w:t>
      </w:r>
      <w:r w:rsidRPr="003E4F42">
        <w:rPr>
          <w:rFonts w:hint="cs"/>
          <w:rtl/>
        </w:rPr>
        <w:t xml:space="preserve"> קביעה כי התיקון לא יחול על מערכת הבחירות הקרובה ברשויות המקומיות היא החלופה הפרשנית שפגיעתה בעקרונות היסוד של השיטה מצומצמת יותר. העמדה הפרשנית ההפוכה משמעותה כי בתחום הרגיש של דיני הבחירות תוקן חוק הבחירות, בזמן הבחירות, על מנת להיטיב עם אדם אחד </w:t>
      </w:r>
      <w:r w:rsidRPr="003E4F42">
        <w:rPr>
          <w:rtl/>
        </w:rPr>
        <w:t>–</w:t>
      </w:r>
      <w:r w:rsidRPr="003E4F42">
        <w:rPr>
          <w:rFonts w:hint="cs"/>
          <w:rtl/>
        </w:rPr>
        <w:t xml:space="preserve"> ראש הוועדה הממונה בטבריה. </w:t>
      </w:r>
    </w:p>
    <w:p w:rsidR="00230278" w:rsidRDefault="00230278" w:rsidP="00230278">
      <w:pPr>
        <w:pStyle w:val="Ruller41"/>
        <w:rPr>
          <w:rtl/>
        </w:rPr>
      </w:pPr>
    </w:p>
    <w:p w:rsidR="00230278" w:rsidRDefault="00230278" w:rsidP="00230278">
      <w:pPr>
        <w:pStyle w:val="Ruller41"/>
        <w:rPr>
          <w:rtl/>
        </w:rPr>
      </w:pPr>
    </w:p>
    <w:p w:rsidR="00230278" w:rsidRPr="00230278" w:rsidRDefault="00230278" w:rsidP="00230278">
      <w:pPr>
        <w:pStyle w:val="Ruller41"/>
        <w:rPr>
          <w:rtl/>
        </w:rPr>
      </w:pP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lastRenderedPageBreak/>
        <w:t xml:space="preserve">חוקתיות התיקון </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rPr>
          <w:rtl/>
        </w:rPr>
      </w:pPr>
      <w:r w:rsidRPr="003E4F42">
        <w:rPr>
          <w:rFonts w:hint="cs"/>
          <w:rtl/>
        </w:rPr>
        <w:t xml:space="preserve">מסקנתי בדבר תחולתו העתידית של התיקון, באופן שאין לו תחולה על הבחירות הקרובות לרשויות המקומיות, מרפאת חלק מהפגמים שדבקו בתיקון מס' 53. כך, ממד הרטרוספקטיביות שלו מצומצם עד מאוד; הוא אינו משנה עוד את כללי הבחירות בתוך תקופת הבחירות; וגם הממד הפרסונלי שדבק בו נעדר משמעות אופרטיבית. ריפויים של פגמים אלה מלמדים כי לא היה זה "דרוש באופן החלטי" להידרש בעת הזו לטענות החוקתיות שהובאו לפנינו (כלשון כללי אשוונדר, שהובאו לעיל). לצד זאת, ברי כי התיקון כשלעצמו עודנו מעורר שאלות משפטיות מורכבות שעל חלקן עמדנו לעיל. הגם שכך, אין אני סבור כי יש מקום להידרש לטענות אלו בעת הזו. שלושה הם טעמיי שניצבים ביסודה של מסקנה זו: </w:t>
      </w:r>
    </w:p>
    <w:p w:rsidR="001E6B43" w:rsidRPr="003E4F42" w:rsidRDefault="001E6B43" w:rsidP="001E6B43">
      <w:pPr>
        <w:pStyle w:val="Ruller41"/>
        <w:rPr>
          <w:rtl/>
        </w:rPr>
      </w:pPr>
    </w:p>
    <w:p w:rsidR="001E6B43" w:rsidRPr="003E4F42" w:rsidRDefault="001E6B43" w:rsidP="001E6B43">
      <w:pPr>
        <w:pStyle w:val="Ruller4"/>
        <w:numPr>
          <w:ilvl w:val="0"/>
          <w:numId w:val="0"/>
        </w:numPr>
        <w:rPr>
          <w:rtl/>
        </w:rPr>
      </w:pPr>
      <w:r w:rsidRPr="003E4F42">
        <w:rPr>
          <w:rtl/>
        </w:rPr>
        <w:tab/>
      </w:r>
      <w:r w:rsidRPr="003E4F42">
        <w:rPr>
          <w:rFonts w:ascii="Century" w:hAnsi="Century" w:cs="Miriam" w:hint="cs"/>
          <w:b/>
          <w:spacing w:val="0"/>
          <w:sz w:val="22"/>
          <w:szCs w:val="24"/>
          <w:rtl/>
        </w:rPr>
        <w:t>ראשית</w:t>
      </w:r>
      <w:r w:rsidRPr="003E4F42">
        <w:rPr>
          <w:rFonts w:hint="cs"/>
          <w:rtl/>
        </w:rPr>
        <w:t xml:space="preserve">, כפי שציינה היועצת המשפטית לממשלה בכתב התשובה מטעם משיבי הממשלה, בימים אלה נערכת בחינה בקרב גורמי המקצוע הממשלתיים בדבר מערך הסדרים משלימים במישור המינהלי שייעודם הבטחת מקצועיותן של הוועדות הממונות וניתוקן מהזירה הפוליטית. סוגיה זו מצויה בליבת הטיעונים שמכוונים לחוקתיותו של תיקון מס' 53 </w:t>
      </w:r>
      <w:r w:rsidRPr="003E4F42">
        <w:rPr>
          <w:rtl/>
        </w:rPr>
        <w:t>–</w:t>
      </w:r>
      <w:r w:rsidRPr="003E4F42">
        <w:rPr>
          <w:rFonts w:hint="cs"/>
          <w:rtl/>
        </w:rPr>
        <w:t xml:space="preserve"> ולכן לא מן הנמנע כי הסדרים משלימים אלה יקרינו על הניתוח המשפטי בסוגיה. ברי כי העתירות במתכונתן הנוכחית לא כוללות התייחסות כלשהי להסדרים מעין אלה (שטרם גובשו, כאמור). הנחתי היא כי הבחינה האמורה תסתיים בזמן סביר ותובא לידיעת הציבור, כך שהעותרים יוכלו לכלכל צעדיהם בהתאם. </w:t>
      </w:r>
    </w:p>
    <w:p w:rsidR="001E6B43" w:rsidRPr="003E4F42" w:rsidRDefault="001E6B43" w:rsidP="001E6B43">
      <w:pPr>
        <w:pStyle w:val="Ruller41"/>
        <w:rPr>
          <w:rtl/>
        </w:rPr>
      </w:pPr>
    </w:p>
    <w:p w:rsidR="001E6B43" w:rsidRPr="003E4F42" w:rsidRDefault="001E6B43" w:rsidP="001E6B43">
      <w:pPr>
        <w:pStyle w:val="Ruller41"/>
        <w:rPr>
          <w:rFonts w:ascii="Century" w:hAnsi="Century"/>
        </w:rPr>
      </w:pPr>
      <w:r w:rsidRPr="003E4F42">
        <w:rPr>
          <w:rtl/>
        </w:rPr>
        <w:tab/>
      </w:r>
      <w:r w:rsidRPr="003E4F42">
        <w:rPr>
          <w:rFonts w:ascii="Century" w:hAnsi="Century" w:cs="Miriam" w:hint="cs"/>
          <w:b/>
          <w:spacing w:val="0"/>
          <w:szCs w:val="24"/>
          <w:rtl/>
        </w:rPr>
        <w:t>שנית,</w:t>
      </w:r>
      <w:r w:rsidRPr="003E4F42">
        <w:rPr>
          <w:rFonts w:ascii="Century" w:hAnsi="Century" w:hint="cs"/>
          <w:rtl/>
        </w:rPr>
        <w:t xml:space="preserve"> </w:t>
      </w:r>
      <w:r w:rsidRPr="003E4F42">
        <w:rPr>
          <w:rFonts w:hint="cs"/>
          <w:rtl/>
        </w:rPr>
        <w:t xml:space="preserve">טיעוני העותרים ביחס לחוקתיות התיקון היו שלובים (למצער בחלקם) בטיעוניהם לפגמים אחרים שנפלו בתיקון ואשר מצאו פתרונם כפועל יוצא של הסעד הפרשני שניתן (אך ראו עמדת המרכז לשלטון מקומי, שהיה משיב לעתירות שלפנינו). כך למשל, הטענות נגד פגיעת התיקון בשוויון בין המועמדים נשענו לא אחת על הפגיעה שנגרמת באופן קונקרטי בבחירות הקרובות (ראו למשל סעיפים 139, 144 ו-146 לעתירת התנועה לאיכות השלטון). משכך, אין אני סבור שהעתירות שלפנינו מציגות עוד מהלך סדור וברור בשאלת חוקתיותו של תיקון מס' 53 </w:t>
      </w:r>
      <w:r w:rsidRPr="003E4F42">
        <w:rPr>
          <w:rtl/>
        </w:rPr>
        <w:t>–</w:t>
      </w:r>
      <w:r w:rsidRPr="003E4F42">
        <w:rPr>
          <w:rFonts w:hint="cs"/>
          <w:rtl/>
        </w:rPr>
        <w:t xml:space="preserve"> במנותק משאלת תחולתו המידית על מערכת הבחירות הקרובה. </w:t>
      </w:r>
    </w:p>
    <w:p w:rsidR="001E6B43" w:rsidRPr="003E4F42" w:rsidRDefault="001E6B43" w:rsidP="001E6B43">
      <w:pPr>
        <w:pStyle w:val="Ruller41"/>
        <w:rPr>
          <w:rtl/>
        </w:rPr>
      </w:pPr>
    </w:p>
    <w:p w:rsidR="001E6B43" w:rsidRPr="003E4F42" w:rsidRDefault="001E6B43" w:rsidP="001E6B43">
      <w:pPr>
        <w:pStyle w:val="Ruller41"/>
        <w:rPr>
          <w:rtl/>
        </w:rPr>
      </w:pPr>
      <w:r w:rsidRPr="003E4F42">
        <w:rPr>
          <w:rtl/>
        </w:rPr>
        <w:tab/>
      </w:r>
      <w:r w:rsidRPr="003E4F42">
        <w:rPr>
          <w:rFonts w:ascii="Century" w:hAnsi="Century" w:cs="Miriam" w:hint="cs"/>
          <w:b/>
          <w:spacing w:val="0"/>
          <w:szCs w:val="24"/>
          <w:rtl/>
        </w:rPr>
        <w:t>שלישית</w:t>
      </w:r>
      <w:r w:rsidRPr="003E4F42">
        <w:rPr>
          <w:rFonts w:hint="cs"/>
          <w:rtl/>
        </w:rPr>
        <w:t xml:space="preserve">, וכנגזרת מסוגיה זו, טיעוני העותרים לא קיימו בעיני הבחנה מספקת בין שאלת התמודדותו של יושב ראש ועדה ממונה לבין שאלתם התמודדותם של חברי ועדה ממונה. ברי כי נוכח תכליתו הפרסונלית המובהקת של התיקון, התמקדו טענות העותרים לא אחת ביתרון שמוקנה ליושב ראש הוועדה הממונה בבחירות (ובפרט, ליושב </w:t>
      </w:r>
      <w:r w:rsidRPr="003E4F42">
        <w:rPr>
          <w:rFonts w:hint="cs"/>
          <w:rtl/>
        </w:rPr>
        <w:lastRenderedPageBreak/>
        <w:t xml:space="preserve">ראש הוועדה הממונה בטבריה). ואולם, הדעת נותנת כי יתרונו של יושב ראש הועדה הממונה בבחירות שונה מהיתרון שניתן לחבריה, ולפיכך על מנת להידרש באופן סדור לטענות שנוגעות לחוקתיות החוק, מחייב הניתוח המשפטי (בדבר הפגיעה בזכויות ובתכליות הוועדה הממונה) התייחסות גם לסוגיה זו. </w:t>
      </w:r>
    </w:p>
    <w:p w:rsidR="001E6B43" w:rsidRPr="003E4F42" w:rsidRDefault="001E6B43" w:rsidP="001E6B43">
      <w:pPr>
        <w:pStyle w:val="Ruller4"/>
        <w:numPr>
          <w:ilvl w:val="0"/>
          <w:numId w:val="0"/>
        </w:numPr>
        <w:rPr>
          <w:rtl/>
        </w:rPr>
      </w:pPr>
    </w:p>
    <w:p w:rsidR="001E6B43" w:rsidRPr="003E4F42" w:rsidRDefault="001E6B43" w:rsidP="001E6B43">
      <w:pPr>
        <w:pStyle w:val="Ruller41"/>
        <w:rPr>
          <w:rtl/>
        </w:rPr>
      </w:pPr>
      <w:r w:rsidRPr="003E4F42">
        <w:rPr>
          <w:rtl/>
        </w:rPr>
        <w:tab/>
      </w:r>
      <w:r w:rsidRPr="003E4F42">
        <w:rPr>
          <w:rFonts w:hint="cs"/>
          <w:rtl/>
        </w:rPr>
        <w:t xml:space="preserve">נוכח כל האמור לעיל, אין אני סבור כי העתירות שלפנינו מניחות את התשתית המשפטית הדרושה להכרעה בסוגיית חוקתיות החוק, וממילא אין מקום להידרש לסוגיה זו עובר לגיבוש ההסדרים במישור המינהלי בהתאם להנחיית היועצת המשפטית לממשלה. ברי כי טענות הצדדים בהקשר זה שמורות להם לאחר השלמת גיבוש ההסדרים האמורים. </w:t>
      </w:r>
    </w:p>
    <w:p w:rsidR="001E6B43" w:rsidRPr="003E4F42" w:rsidRDefault="001E6B43" w:rsidP="001E6B43">
      <w:pPr>
        <w:pStyle w:val="Ruller41"/>
        <w:rPr>
          <w:rtl/>
        </w:rPr>
      </w:pPr>
    </w:p>
    <w:p w:rsidR="001E6B43" w:rsidRPr="003E4F42" w:rsidRDefault="001E6B43" w:rsidP="001E6B43">
      <w:pPr>
        <w:pStyle w:val="1"/>
        <w:rPr>
          <w:rtl/>
        </w:rPr>
      </w:pPr>
      <w:r w:rsidRPr="003E4F42">
        <w:rPr>
          <w:rFonts w:hint="cs"/>
          <w:rtl/>
        </w:rPr>
        <w:t>סוף דבר</w:t>
      </w:r>
    </w:p>
    <w:p w:rsidR="001E6B43" w:rsidRPr="003E4F42" w:rsidRDefault="001E6B43" w:rsidP="001E6B43">
      <w:pPr>
        <w:pStyle w:val="Ruller41"/>
        <w:rPr>
          <w:rFonts w:ascii="Century" w:hAnsi="Century" w:cs="Miriam"/>
          <w:b/>
          <w:spacing w:val="0"/>
          <w:szCs w:val="24"/>
          <w:rtl/>
        </w:rPr>
      </w:pPr>
    </w:p>
    <w:p w:rsidR="001E6B43" w:rsidRPr="003E4F42" w:rsidRDefault="001E6B43" w:rsidP="001E6B43">
      <w:pPr>
        <w:pStyle w:val="Ruller4"/>
        <w:rPr>
          <w:rFonts w:ascii="Century" w:hAnsi="Century"/>
          <w:sz w:val="22"/>
          <w:rtl/>
        </w:rPr>
      </w:pPr>
      <w:r w:rsidRPr="003E4F42">
        <w:rPr>
          <w:rFonts w:hint="cs"/>
          <w:rtl/>
        </w:rPr>
        <w:t xml:space="preserve">התיקון שניצב במוקד העתירות שלפנינו ביקש לאפשר לחבריה של ועדה ממונה וליושב ראשה </w:t>
      </w:r>
      <w:r w:rsidRPr="003E4F42">
        <w:rPr>
          <w:rFonts w:ascii="Century" w:hAnsi="Century" w:hint="cs"/>
          <w:sz w:val="22"/>
          <w:rtl/>
        </w:rPr>
        <w:t xml:space="preserve">להתמודד בבחירות לרשות המקומית שאליה מונו. תיקון זה, לצד תכליתו העקרונית-כללית, ביקש לאפשר גם באופן פרסונלי לבועז יוסף, יושב ראש הוועדה הממונה בטבריה להתמודד בבחירות בעיר. העותרים לפנינו ביקשו כי נורה על ביטולו של התיקון, אך בחינת פרשנותו של התיקון העלתה כי קיימת </w:t>
      </w:r>
      <w:r w:rsidRPr="003E4F42">
        <w:rPr>
          <w:rFonts w:hint="cs"/>
          <w:rtl/>
        </w:rPr>
        <w:t xml:space="preserve">חלופה פרשנית אשר מונעת את הצורך להכריע בחוקתיות החוק בעת הזו ובד בבד מאפשרת את קיומו של החוק בהתאמה לעקרונות היסוד של השיטה (עניין </w:t>
      </w:r>
      <w:r w:rsidRPr="003E4F42">
        <w:rPr>
          <w:rFonts w:ascii="Century" w:hAnsi="Century" w:cs="Miriam" w:hint="cs"/>
          <w:b/>
          <w:spacing w:val="0"/>
          <w:szCs w:val="24"/>
          <w:rtl/>
        </w:rPr>
        <w:t>גניס</w:t>
      </w:r>
      <w:r w:rsidRPr="003E4F42">
        <w:rPr>
          <w:rFonts w:ascii="Century" w:hAnsi="Century" w:hint="cs"/>
          <w:rtl/>
        </w:rPr>
        <w:t>, בעמ' 290</w:t>
      </w:r>
      <w:r w:rsidRPr="003E4F42">
        <w:rPr>
          <w:rFonts w:hint="cs"/>
          <w:rtl/>
        </w:rPr>
        <w:t xml:space="preserve">). חלופה פרשנית זו, שלפיה הוראות תיקון מס' 53 לא </w:t>
      </w:r>
      <w:r w:rsidRPr="003E4F42">
        <w:rPr>
          <w:rFonts w:ascii="Century" w:hAnsi="Century" w:hint="cs"/>
          <w:sz w:val="22"/>
          <w:rtl/>
        </w:rPr>
        <w:t xml:space="preserve">יחולו בבחירות הקרובות לרשויות המקומיות עולות בקנה אחד עם עקרונות יסוד בשיטתנו המשפטית, שלפיהם אין לשנות את כללי הבחירות במהלך תקופת הבחירות, וכי חקיקה ככלל לא תחול למפרע ותהיה כללית ולא פרסונלית. </w:t>
      </w:r>
    </w:p>
    <w:p w:rsidR="001E6B43" w:rsidRPr="003E4F42" w:rsidRDefault="001E6B43" w:rsidP="001E6B43">
      <w:pPr>
        <w:pStyle w:val="Ruller41"/>
        <w:rPr>
          <w:rFonts w:ascii="Century" w:hAnsi="Century"/>
          <w:rtl/>
        </w:rPr>
      </w:pPr>
    </w:p>
    <w:p w:rsidR="001E6B43" w:rsidRPr="003E4F42" w:rsidRDefault="001E6B43" w:rsidP="001420A9">
      <w:pPr>
        <w:pStyle w:val="Ruller41"/>
        <w:rPr>
          <w:rtl/>
        </w:rPr>
      </w:pPr>
      <w:r w:rsidRPr="003E4F42">
        <w:rPr>
          <w:rtl/>
        </w:rPr>
        <w:tab/>
      </w:r>
      <w:r w:rsidRPr="003E4F42">
        <w:rPr>
          <w:rFonts w:hint="cs"/>
          <w:rtl/>
        </w:rPr>
        <w:t>התוצאה היא אפוא, כפי שציינו בפסק דיננו החלקי</w:t>
      </w:r>
      <w:r w:rsidRPr="003E4F42">
        <w:rPr>
          <w:rtl/>
        </w:rPr>
        <w:t>,</w:t>
      </w:r>
      <w:r w:rsidRPr="003E4F42">
        <w:rPr>
          <w:rFonts w:hint="cs"/>
          <w:rtl/>
        </w:rPr>
        <w:t xml:space="preserve"> </w:t>
      </w:r>
      <w:r w:rsidRPr="003E4F42">
        <w:rPr>
          <w:rFonts w:hint="eastAsia"/>
          <w:rtl/>
        </w:rPr>
        <w:t>כי</w:t>
      </w:r>
      <w:r w:rsidRPr="003E4F42">
        <w:rPr>
          <w:rtl/>
        </w:rPr>
        <w:t xml:space="preserve"> </w:t>
      </w:r>
      <w:r w:rsidRPr="003E4F42">
        <w:rPr>
          <w:rFonts w:hint="eastAsia"/>
          <w:rtl/>
        </w:rPr>
        <w:t>הוראות</w:t>
      </w:r>
      <w:r w:rsidRPr="003E4F42">
        <w:rPr>
          <w:rtl/>
        </w:rPr>
        <w:t xml:space="preserve"> </w:t>
      </w:r>
      <w:r w:rsidRPr="003E4F42">
        <w:rPr>
          <w:rFonts w:hint="eastAsia"/>
          <w:rtl/>
        </w:rPr>
        <w:t>תיקון</w:t>
      </w:r>
      <w:r w:rsidRPr="003E4F42">
        <w:rPr>
          <w:rtl/>
        </w:rPr>
        <w:t xml:space="preserve"> </w:t>
      </w:r>
      <w:r w:rsidRPr="003E4F42">
        <w:rPr>
          <w:rFonts w:hint="eastAsia"/>
          <w:rtl/>
        </w:rPr>
        <w:t>מס</w:t>
      </w:r>
      <w:r w:rsidRPr="003E4F42">
        <w:rPr>
          <w:rtl/>
        </w:rPr>
        <w:t xml:space="preserve">' 53 </w:t>
      </w:r>
      <w:r w:rsidRPr="003E4F42">
        <w:rPr>
          <w:rFonts w:hint="eastAsia"/>
          <w:rtl/>
        </w:rPr>
        <w:t>לחוק</w:t>
      </w:r>
      <w:r w:rsidRPr="003E4F42">
        <w:rPr>
          <w:rtl/>
        </w:rPr>
        <w:t xml:space="preserve"> </w:t>
      </w:r>
      <w:r w:rsidRPr="003E4F42">
        <w:rPr>
          <w:rFonts w:hint="eastAsia"/>
          <w:rtl/>
        </w:rPr>
        <w:t>הרשויות</w:t>
      </w:r>
      <w:r w:rsidRPr="003E4F42">
        <w:rPr>
          <w:rtl/>
        </w:rPr>
        <w:t xml:space="preserve"> </w:t>
      </w:r>
      <w:r w:rsidRPr="003E4F42">
        <w:rPr>
          <w:rFonts w:hint="eastAsia"/>
          <w:rtl/>
        </w:rPr>
        <w:t>המקומיות</w:t>
      </w:r>
      <w:r w:rsidRPr="003E4F42">
        <w:rPr>
          <w:rtl/>
        </w:rPr>
        <w:t xml:space="preserve"> (</w:t>
      </w:r>
      <w:r w:rsidRPr="003E4F42">
        <w:rPr>
          <w:rFonts w:hint="eastAsia"/>
          <w:rtl/>
        </w:rPr>
        <w:t>בחירות</w:t>
      </w:r>
      <w:r w:rsidRPr="003E4F42">
        <w:rPr>
          <w:rtl/>
        </w:rPr>
        <w:t xml:space="preserve">), </w:t>
      </w:r>
      <w:r w:rsidRPr="003E4F42">
        <w:rPr>
          <w:rFonts w:hint="eastAsia"/>
          <w:rtl/>
        </w:rPr>
        <w:t>התשכ</w:t>
      </w:r>
      <w:r w:rsidRPr="003E4F42">
        <w:rPr>
          <w:rtl/>
        </w:rPr>
        <w:t>"</w:t>
      </w:r>
      <w:r w:rsidRPr="003E4F42">
        <w:rPr>
          <w:rFonts w:hint="eastAsia"/>
          <w:rtl/>
        </w:rPr>
        <w:t>ה</w:t>
      </w:r>
      <w:r w:rsidRPr="003E4F42">
        <w:rPr>
          <w:rtl/>
        </w:rPr>
        <w:t xml:space="preserve">-1965 </w:t>
      </w:r>
      <w:r w:rsidRPr="003E4F42">
        <w:rPr>
          <w:rFonts w:hint="eastAsia"/>
          <w:rtl/>
        </w:rPr>
        <w:t>יפורשו</w:t>
      </w:r>
      <w:r w:rsidRPr="003E4F42">
        <w:rPr>
          <w:rtl/>
        </w:rPr>
        <w:t xml:space="preserve"> </w:t>
      </w:r>
      <w:r w:rsidRPr="003E4F42">
        <w:rPr>
          <w:rFonts w:hint="eastAsia"/>
          <w:rtl/>
        </w:rPr>
        <w:t>באופן</w:t>
      </w:r>
      <w:r w:rsidRPr="003E4F42">
        <w:rPr>
          <w:rtl/>
        </w:rPr>
        <w:t xml:space="preserve"> </w:t>
      </w:r>
      <w:r w:rsidRPr="003E4F42">
        <w:rPr>
          <w:rFonts w:hint="eastAsia"/>
          <w:rtl/>
        </w:rPr>
        <w:t>שלא</w:t>
      </w:r>
      <w:r w:rsidRPr="003E4F42">
        <w:rPr>
          <w:rtl/>
        </w:rPr>
        <w:t xml:space="preserve"> </w:t>
      </w:r>
      <w:r w:rsidRPr="003E4F42">
        <w:rPr>
          <w:rFonts w:hint="eastAsia"/>
          <w:rtl/>
        </w:rPr>
        <w:t>תהא</w:t>
      </w:r>
      <w:r w:rsidRPr="003E4F42">
        <w:rPr>
          <w:rtl/>
        </w:rPr>
        <w:t xml:space="preserve"> </w:t>
      </w:r>
      <w:r w:rsidRPr="003E4F42">
        <w:rPr>
          <w:rFonts w:hint="eastAsia"/>
          <w:rtl/>
        </w:rPr>
        <w:t>להן</w:t>
      </w:r>
      <w:r w:rsidRPr="003E4F42">
        <w:rPr>
          <w:rtl/>
        </w:rPr>
        <w:t xml:space="preserve"> </w:t>
      </w:r>
      <w:r w:rsidRPr="003E4F42">
        <w:rPr>
          <w:rFonts w:hint="eastAsia"/>
          <w:rtl/>
        </w:rPr>
        <w:t>תחולה</w:t>
      </w:r>
      <w:r w:rsidRPr="003E4F42">
        <w:rPr>
          <w:rtl/>
        </w:rPr>
        <w:t xml:space="preserve"> </w:t>
      </w:r>
      <w:r w:rsidRPr="003E4F42">
        <w:rPr>
          <w:rFonts w:hint="eastAsia"/>
          <w:rtl/>
        </w:rPr>
        <w:t>על</w:t>
      </w:r>
      <w:r w:rsidRPr="003E4F42">
        <w:rPr>
          <w:rtl/>
        </w:rPr>
        <w:t xml:space="preserve"> </w:t>
      </w:r>
      <w:r w:rsidRPr="003E4F42">
        <w:rPr>
          <w:rFonts w:hint="eastAsia"/>
          <w:rtl/>
        </w:rPr>
        <w:t>הבחירות</w:t>
      </w:r>
      <w:r w:rsidRPr="003E4F42">
        <w:rPr>
          <w:rtl/>
        </w:rPr>
        <w:t xml:space="preserve"> </w:t>
      </w:r>
      <w:r w:rsidRPr="003E4F42">
        <w:rPr>
          <w:rFonts w:hint="eastAsia"/>
          <w:rtl/>
        </w:rPr>
        <w:t>הקרובות</w:t>
      </w:r>
      <w:r w:rsidRPr="003E4F42">
        <w:rPr>
          <w:rtl/>
        </w:rPr>
        <w:t xml:space="preserve"> </w:t>
      </w:r>
      <w:r w:rsidRPr="003E4F42">
        <w:rPr>
          <w:rFonts w:hint="eastAsia"/>
          <w:rtl/>
        </w:rPr>
        <w:t>לרשויות</w:t>
      </w:r>
      <w:r w:rsidRPr="003E4F42">
        <w:rPr>
          <w:rtl/>
        </w:rPr>
        <w:t xml:space="preserve"> </w:t>
      </w:r>
      <w:r w:rsidRPr="003E4F42">
        <w:rPr>
          <w:rFonts w:hint="eastAsia"/>
          <w:rtl/>
        </w:rPr>
        <w:t>המקומיות</w:t>
      </w:r>
      <w:r w:rsidRPr="003E4F42">
        <w:rPr>
          <w:rFonts w:hint="cs"/>
          <w:rtl/>
        </w:rPr>
        <w:t>. בכל הנוגע לחוקתיות התיקון, טענות הצדדים שמורות להם.</w:t>
      </w:r>
    </w:p>
    <w:p w:rsidR="001E6B43" w:rsidRPr="003E4F42" w:rsidRDefault="001E6B43" w:rsidP="001E6B43">
      <w:pPr>
        <w:pStyle w:val="Ruller41"/>
        <w:rPr>
          <w:rtl/>
        </w:rPr>
      </w:pPr>
    </w:p>
    <w:p w:rsidR="00016EF1" w:rsidRDefault="001E6B43" w:rsidP="001E6B43">
      <w:pPr>
        <w:pStyle w:val="Ruller41"/>
        <w:rPr>
          <w:rtl/>
        </w:rPr>
      </w:pPr>
      <w:r w:rsidRPr="003E4F42">
        <w:rPr>
          <w:rtl/>
        </w:rPr>
        <w:tab/>
      </w:r>
      <w:r w:rsidRPr="003E4F42">
        <w:rPr>
          <w:rFonts w:hint="cs"/>
          <w:rtl/>
        </w:rPr>
        <w:t>אציע כי נחייב את הכנסת בהוצאות העותרים בכל אחת מן העתירות בסך 10,000 ש"ח (30,000 ש"ח סך</w:t>
      </w:r>
      <w:r w:rsidR="00A437E8" w:rsidRPr="003E4F42">
        <w:rPr>
          <w:rFonts w:hint="cs"/>
          <w:rtl/>
        </w:rPr>
        <w:t xml:space="preserve"> הכל).</w:t>
      </w:r>
    </w:p>
    <w:p w:rsidR="00267280" w:rsidRDefault="00267280" w:rsidP="001E6B43">
      <w:pPr>
        <w:pStyle w:val="Ruller41"/>
        <w:rPr>
          <w:rtl/>
        </w:rPr>
      </w:pPr>
    </w:p>
    <w:p w:rsidR="00553FDC" w:rsidRDefault="00553FDC" w:rsidP="001E6B43">
      <w:pPr>
        <w:pStyle w:val="Ruller41"/>
        <w:rPr>
          <w:rtl/>
        </w:rPr>
      </w:pPr>
    </w:p>
    <w:tbl>
      <w:tblPr>
        <w:bidiVisual/>
        <w:tblW w:w="8363" w:type="dxa"/>
        <w:tblLook w:val="01E0" w:firstRow="1" w:lastRow="1" w:firstColumn="1" w:lastColumn="1" w:noHBand="0" w:noVBand="0"/>
      </w:tblPr>
      <w:tblGrid>
        <w:gridCol w:w="2783"/>
        <w:gridCol w:w="2797"/>
        <w:gridCol w:w="2783"/>
      </w:tblGrid>
      <w:tr w:rsidR="00267280" w:rsidRPr="00267280" w:rsidTr="002A0D41">
        <w:tc>
          <w:tcPr>
            <w:tcW w:w="2783" w:type="dxa"/>
            <w:shd w:val="clear" w:color="auto" w:fill="auto"/>
          </w:tcPr>
          <w:p w:rsidR="00267280" w:rsidRPr="00267280" w:rsidRDefault="00267280" w:rsidP="002A0D41">
            <w:pPr>
              <w:pStyle w:val="Ruller41"/>
              <w:jc w:val="center"/>
              <w:rPr>
                <w:rtl/>
              </w:rPr>
            </w:pPr>
          </w:p>
        </w:tc>
        <w:tc>
          <w:tcPr>
            <w:tcW w:w="2797" w:type="dxa"/>
            <w:shd w:val="clear" w:color="auto" w:fill="auto"/>
          </w:tcPr>
          <w:p w:rsidR="00267280" w:rsidRPr="00267280" w:rsidRDefault="00267280" w:rsidP="002A0D41">
            <w:pPr>
              <w:pStyle w:val="Ruller41"/>
              <w:jc w:val="center"/>
              <w:rPr>
                <w:rtl/>
              </w:rPr>
            </w:pPr>
          </w:p>
        </w:tc>
        <w:tc>
          <w:tcPr>
            <w:tcW w:w="2783" w:type="dxa"/>
            <w:shd w:val="clear" w:color="auto" w:fill="auto"/>
          </w:tcPr>
          <w:p w:rsidR="00267280" w:rsidRPr="00267280" w:rsidRDefault="00D57E3F" w:rsidP="00D57E3F">
            <w:pPr>
              <w:pStyle w:val="Ruller41"/>
              <w:jc w:val="right"/>
              <w:rPr>
                <w:rtl/>
              </w:rPr>
            </w:pPr>
            <w:r>
              <w:rPr>
                <w:rFonts w:hint="cs"/>
                <w:rtl/>
              </w:rPr>
              <w:t>מ"מ הנשיא</w:t>
            </w:r>
          </w:p>
        </w:tc>
      </w:tr>
    </w:tbl>
    <w:p w:rsidR="00267280" w:rsidRPr="003E4F42" w:rsidRDefault="00267280" w:rsidP="001E6B43">
      <w:pPr>
        <w:pStyle w:val="Ruller41"/>
        <w:rPr>
          <w:rtl/>
        </w:rPr>
      </w:pPr>
    </w:p>
    <w:p w:rsidR="00553993" w:rsidRDefault="00D57E3F" w:rsidP="00A51FAE">
      <w:pPr>
        <w:pStyle w:val="Ruller41"/>
        <w:rPr>
          <w:rFonts w:ascii="Century" w:hAnsi="Century" w:cs="Miriam"/>
          <w:b/>
          <w:spacing w:val="0"/>
          <w:szCs w:val="24"/>
          <w:rtl/>
        </w:rPr>
      </w:pPr>
      <w:r w:rsidRPr="00D57E3F">
        <w:rPr>
          <w:rFonts w:ascii="Century" w:hAnsi="Century" w:cs="Miriam" w:hint="cs"/>
          <w:b/>
          <w:spacing w:val="0"/>
          <w:szCs w:val="24"/>
          <w:u w:val="single"/>
          <w:rtl/>
        </w:rPr>
        <w:t>השופט א' שטיין</w:t>
      </w:r>
      <w:r>
        <w:rPr>
          <w:rFonts w:ascii="Century" w:hAnsi="Century" w:cs="Miriam" w:hint="cs"/>
          <w:b/>
          <w:spacing w:val="0"/>
          <w:szCs w:val="24"/>
          <w:rtl/>
        </w:rPr>
        <w:t>:</w:t>
      </w:r>
    </w:p>
    <w:p w:rsidR="00553FDC" w:rsidRDefault="00553FDC" w:rsidP="00553FDC">
      <w:pPr>
        <w:pStyle w:val="Ruller41"/>
        <w:rPr>
          <w:rtl/>
        </w:rPr>
      </w:pPr>
    </w:p>
    <w:p w:rsidR="00553FDC" w:rsidRPr="00286493" w:rsidRDefault="00553FDC" w:rsidP="00553FDC">
      <w:pPr>
        <w:pStyle w:val="Ruller41"/>
        <w:rPr>
          <w:rFonts w:ascii="Century" w:hAnsi="Century" w:cs="Miriam"/>
          <w:b/>
          <w:spacing w:val="0"/>
          <w:szCs w:val="24"/>
          <w:rtl/>
        </w:rPr>
      </w:pPr>
      <w:r w:rsidRPr="00286493">
        <w:rPr>
          <w:rFonts w:ascii="Century" w:hAnsi="Century" w:cs="Miriam" w:hint="cs"/>
          <w:b/>
          <w:spacing w:val="0"/>
          <w:szCs w:val="24"/>
          <w:rtl/>
        </w:rPr>
        <w:t xml:space="preserve">השורה התחתונה </w:t>
      </w:r>
    </w:p>
    <w:p w:rsidR="00553FDC" w:rsidRDefault="00553FDC" w:rsidP="00553FDC">
      <w:pPr>
        <w:pStyle w:val="Ruller41"/>
        <w:rPr>
          <w:rtl/>
        </w:rPr>
      </w:pPr>
    </w:p>
    <w:p w:rsidR="00553FDC" w:rsidRDefault="00553FDC" w:rsidP="00553FDC">
      <w:pPr>
        <w:pStyle w:val="Ruller4"/>
        <w:numPr>
          <w:ilvl w:val="0"/>
          <w:numId w:val="24"/>
        </w:numPr>
      </w:pPr>
      <w:r>
        <w:rPr>
          <w:rFonts w:hint="cs"/>
          <w:rtl/>
        </w:rPr>
        <w:t xml:space="preserve">אני מסכים לתוצאה אליה הגיע חברי, ממלא-מקום הנשיא, בפסק דינו המקיף והמנומק לעילא ולעילא. </w:t>
      </w:r>
    </w:p>
    <w:p w:rsidR="00553FDC" w:rsidRDefault="00553FDC" w:rsidP="00553FDC">
      <w:pPr>
        <w:pStyle w:val="Ruller4"/>
        <w:numPr>
          <w:ilvl w:val="0"/>
          <w:numId w:val="0"/>
        </w:numPr>
        <w:rPr>
          <w:rtl/>
        </w:rPr>
      </w:pPr>
    </w:p>
    <w:p w:rsidR="00553FDC" w:rsidRDefault="00553FDC" w:rsidP="00553FDC">
      <w:pPr>
        <w:pStyle w:val="Ruller4"/>
      </w:pPr>
      <w:r>
        <w:rPr>
          <w:rFonts w:hint="cs"/>
          <w:rtl/>
        </w:rPr>
        <w:t>סבורני כי הכרעתנו בעתירות שלפנינו מחייבת בחינה מחדש של יסודות המשפט החוקתי; וזאת אעשה. בחינתם של יסודות אלו הובילתני לתוצאה הזהה לזאת של חברי, אולם נימוקיי שונים מנימוקיו.</w:t>
      </w:r>
    </w:p>
    <w:p w:rsidR="00553FDC" w:rsidRPr="00A963DC" w:rsidRDefault="00553FDC" w:rsidP="00553FDC">
      <w:pPr>
        <w:pStyle w:val="Ruller4"/>
        <w:numPr>
          <w:ilvl w:val="0"/>
          <w:numId w:val="0"/>
        </w:numPr>
      </w:pPr>
    </w:p>
    <w:p w:rsidR="00553FDC" w:rsidRDefault="00553FDC" w:rsidP="00553FDC">
      <w:pPr>
        <w:pStyle w:val="Ruller4"/>
      </w:pPr>
      <w:r>
        <w:rPr>
          <w:rFonts w:hint="cs"/>
          <w:rtl/>
        </w:rPr>
        <w:t xml:space="preserve">כמו חברי, הנני סבור כי החוק נושא דיוננו </w:t>
      </w:r>
      <w:r>
        <w:rPr>
          <w:rtl/>
        </w:rPr>
        <w:t>–</w:t>
      </w:r>
      <w:r>
        <w:rPr>
          <w:rFonts w:hint="cs"/>
          <w:rtl/>
        </w:rPr>
        <w:t xml:space="preserve"> חוק הרשויות המקומיות (בחירות) (תיקון מס' 53), התשפ"ג-2023 (להלן: </w:t>
      </w:r>
      <w:r w:rsidRPr="00286493">
        <w:rPr>
          <w:rFonts w:ascii="Century" w:hAnsi="Century" w:cs="Miriam" w:hint="cs"/>
          <w:b/>
          <w:spacing w:val="0"/>
          <w:sz w:val="22"/>
          <w:szCs w:val="24"/>
          <w:rtl/>
        </w:rPr>
        <w:t>החוק המתקן</w:t>
      </w:r>
      <w:r>
        <w:rPr>
          <w:rFonts w:hint="cs"/>
          <w:rtl/>
        </w:rPr>
        <w:t xml:space="preserve">), אינו יכול לחול על הבחירות הקרובות לרשויות המקומיות, אשר אמורות היו להתקיים ביום 31.10.2023 ונדחה למועד מאוחר יותר (להלן: </w:t>
      </w:r>
      <w:r w:rsidRPr="00476410">
        <w:rPr>
          <w:rFonts w:ascii="Century" w:hAnsi="Century" w:cs="Miriam" w:hint="cs"/>
          <w:b/>
          <w:spacing w:val="0"/>
          <w:sz w:val="22"/>
          <w:szCs w:val="24"/>
          <w:rtl/>
        </w:rPr>
        <w:t>הבחירות הקרובות</w:t>
      </w:r>
      <w:r>
        <w:rPr>
          <w:rFonts w:hint="cs"/>
          <w:rtl/>
        </w:rPr>
        <w:t>).</w:t>
      </w:r>
    </w:p>
    <w:p w:rsidR="00553FDC" w:rsidRDefault="00553FDC" w:rsidP="00553FDC">
      <w:pPr>
        <w:pStyle w:val="Ruller4"/>
        <w:numPr>
          <w:ilvl w:val="0"/>
          <w:numId w:val="0"/>
        </w:numPr>
      </w:pPr>
      <w:r>
        <w:rPr>
          <w:rFonts w:hint="cs"/>
          <w:rtl/>
        </w:rPr>
        <w:t xml:space="preserve"> </w:t>
      </w:r>
    </w:p>
    <w:p w:rsidR="00553FDC" w:rsidRDefault="00553FDC" w:rsidP="00553FDC">
      <w:pPr>
        <w:pStyle w:val="Ruller4"/>
        <w:rPr>
          <w:rtl/>
        </w:rPr>
      </w:pPr>
      <w:r>
        <w:rPr>
          <w:rFonts w:hint="cs"/>
          <w:rtl/>
        </w:rPr>
        <w:t xml:space="preserve">שלא כמו חברי, הנני סבור כי דחיית תחולתו של החוק המתקן (בהתאם לכללי התחולה אשר נדונו וחודדו בבג"ץ 2933/94 </w:t>
      </w:r>
      <w:r w:rsidRPr="002353C1">
        <w:rPr>
          <w:rFonts w:ascii="Century" w:hAnsi="Century" w:cs="Miriam" w:hint="cs"/>
          <w:b/>
          <w:spacing w:val="0"/>
          <w:sz w:val="22"/>
          <w:szCs w:val="24"/>
          <w:rtl/>
        </w:rPr>
        <w:t>רשות שדות התעופה נ' בית הדין הארצי לעבודה</w:t>
      </w:r>
      <w:r>
        <w:rPr>
          <w:rFonts w:hint="cs"/>
          <w:rtl/>
        </w:rPr>
        <w:t xml:space="preserve">, פ"ד נ(3) 837, 853, 861-860 (1996)) מתחייבת </w:t>
      </w:r>
      <w:r w:rsidRPr="002353C1">
        <w:rPr>
          <w:rFonts w:ascii="Century" w:hAnsi="Century" w:cs="Miriam" w:hint="cs"/>
          <w:b/>
          <w:spacing w:val="0"/>
          <w:sz w:val="22"/>
          <w:szCs w:val="24"/>
          <w:rtl/>
        </w:rPr>
        <w:t>אך ורק</w:t>
      </w:r>
      <w:r>
        <w:rPr>
          <w:rFonts w:hint="cs"/>
          <w:rtl/>
        </w:rPr>
        <w:t xml:space="preserve"> מהטעמים הבאים: </w:t>
      </w:r>
    </w:p>
    <w:p w:rsidR="00553FDC" w:rsidRDefault="00553FDC" w:rsidP="00553FDC">
      <w:pPr>
        <w:pStyle w:val="Ruller41"/>
        <w:rPr>
          <w:rtl/>
        </w:rPr>
      </w:pPr>
    </w:p>
    <w:p w:rsidR="00553FDC" w:rsidRDefault="00553FDC" w:rsidP="00553FDC">
      <w:pPr>
        <w:pStyle w:val="Ruller41"/>
        <w:numPr>
          <w:ilvl w:val="0"/>
          <w:numId w:val="19"/>
        </w:numPr>
      </w:pPr>
      <w:r>
        <w:rPr>
          <w:rFonts w:hint="cs"/>
          <w:rtl/>
        </w:rPr>
        <w:t xml:space="preserve">תחולתו המיידית של החוק המתקן והמניע העיקרי שמאחוריו הופכים את החוק </w:t>
      </w:r>
      <w:r w:rsidRPr="00FB4D08">
        <w:rPr>
          <w:rFonts w:ascii="Century" w:hAnsi="Century" w:cs="Miriam" w:hint="cs"/>
          <w:b/>
          <w:spacing w:val="0"/>
          <w:szCs w:val="24"/>
          <w:rtl/>
        </w:rPr>
        <w:t>לחוק פרסונלי</w:t>
      </w:r>
      <w:r>
        <w:rPr>
          <w:rFonts w:ascii="Century" w:hAnsi="Century" w:hint="cs"/>
          <w:rtl/>
        </w:rPr>
        <w:t>, כפי שנטען בעתירות.</w:t>
      </w:r>
    </w:p>
    <w:p w:rsidR="00553FDC" w:rsidRDefault="00553FDC" w:rsidP="00553FDC">
      <w:pPr>
        <w:pStyle w:val="Ruller41"/>
        <w:ind w:left="720"/>
      </w:pPr>
    </w:p>
    <w:p w:rsidR="00553FDC" w:rsidRDefault="00553FDC" w:rsidP="00553FDC">
      <w:pPr>
        <w:pStyle w:val="Ruller41"/>
        <w:numPr>
          <w:ilvl w:val="0"/>
          <w:numId w:val="19"/>
        </w:numPr>
      </w:pPr>
      <w:r>
        <w:rPr>
          <w:rFonts w:hint="cs"/>
          <w:rtl/>
        </w:rPr>
        <w:t xml:space="preserve">חוק פרסונלי אינו חוקתי באשר הוא מפר את העיקרון של "שוויון גמור" הכלול בהכרזת העצמאות </w:t>
      </w:r>
      <w:r>
        <w:rPr>
          <w:rtl/>
        </w:rPr>
        <w:t>–</w:t>
      </w:r>
      <w:r>
        <w:rPr>
          <w:rFonts w:hint="cs"/>
          <w:rtl/>
        </w:rPr>
        <w:t xml:space="preserve"> הנורמה הבסיסית שמסמיכה את הכנסת לחוקק חוקים. חקיקתם של חוקים פרסונליים אינה בסמכותה של הכנסת. </w:t>
      </w:r>
    </w:p>
    <w:p w:rsidR="00553FDC" w:rsidRDefault="00553FDC" w:rsidP="00553FDC">
      <w:pPr>
        <w:pStyle w:val="Ruller41"/>
        <w:ind w:left="720"/>
      </w:pPr>
    </w:p>
    <w:p w:rsidR="00553FDC" w:rsidRDefault="00553FDC" w:rsidP="00553FDC">
      <w:pPr>
        <w:pStyle w:val="Ruller41"/>
        <w:numPr>
          <w:ilvl w:val="0"/>
          <w:numId w:val="19"/>
        </w:numPr>
      </w:pPr>
      <w:r>
        <w:rPr>
          <w:rFonts w:hint="cs"/>
          <w:rtl/>
        </w:rPr>
        <w:t xml:space="preserve">מדובר בחוק שאינו חוקתי רק בהחלתו המיידית, דהיינו: </w:t>
      </w:r>
      <w:r w:rsidRPr="002353C1">
        <w:rPr>
          <w:rFonts w:ascii="Century" w:hAnsi="Century" w:cs="Miriam" w:hint="cs"/>
          <w:b/>
          <w:spacing w:val="0"/>
          <w:szCs w:val="24"/>
          <w:u w:val="single"/>
          <w:rtl/>
        </w:rPr>
        <w:t>ביישום בלבד</w:t>
      </w:r>
      <w:r>
        <w:rPr>
          <w:rFonts w:hint="cs"/>
          <w:rtl/>
        </w:rPr>
        <w:t xml:space="preserve"> (</w:t>
      </w:r>
      <w:r w:rsidRPr="002353C1">
        <w:rPr>
          <w:rFonts w:asciiTheme="majorBidi" w:hAnsiTheme="majorBidi" w:cstheme="majorBidi"/>
          <w:sz w:val="24"/>
          <w:szCs w:val="24"/>
        </w:rPr>
        <w:t>as applied</w:t>
      </w:r>
      <w:r>
        <w:rPr>
          <w:rFonts w:hint="cs"/>
          <w:rtl/>
        </w:rPr>
        <w:t xml:space="preserve">) (ראו והשוו: </w:t>
      </w:r>
      <w:r w:rsidRPr="002353C1">
        <w:rPr>
          <w:color w:val="000000"/>
          <w:sz w:val="27"/>
          <w:szCs w:val="27"/>
          <w:rtl/>
        </w:rPr>
        <w:t xml:space="preserve">בג"ץ 5239/11 </w:t>
      </w:r>
      <w:r w:rsidRPr="002353C1">
        <w:rPr>
          <w:rFonts w:ascii="Century" w:hAnsi="Century" w:cs="Miriam"/>
          <w:b/>
          <w:spacing w:val="0"/>
          <w:szCs w:val="24"/>
          <w:rtl/>
        </w:rPr>
        <w:t>אבנרי נ' הכנסת</w:t>
      </w:r>
      <w:r w:rsidRPr="002353C1">
        <w:rPr>
          <w:rFonts w:ascii="Century" w:hAnsi="Century" w:hint="cs"/>
          <w:rtl/>
        </w:rPr>
        <w:t>, פסקאות 24 ו-60</w:t>
      </w:r>
      <w:r w:rsidRPr="002353C1">
        <w:rPr>
          <w:color w:val="000000"/>
          <w:sz w:val="27"/>
          <w:szCs w:val="27"/>
          <w:rtl/>
        </w:rPr>
        <w:t xml:space="preserve"> </w:t>
      </w:r>
      <w:r w:rsidRPr="002353C1">
        <w:rPr>
          <w:rFonts w:hint="cs"/>
          <w:color w:val="000000"/>
          <w:sz w:val="27"/>
          <w:szCs w:val="27"/>
          <w:rtl/>
        </w:rPr>
        <w:t xml:space="preserve">לפסק דינו של השופט </w:t>
      </w:r>
      <w:r w:rsidRPr="002353C1">
        <w:rPr>
          <w:rFonts w:ascii="Century" w:hAnsi="Century" w:cs="Miriam" w:hint="cs"/>
          <w:b/>
          <w:spacing w:val="0"/>
          <w:szCs w:val="24"/>
          <w:rtl/>
        </w:rPr>
        <w:t>ח' מלצר</w:t>
      </w:r>
      <w:r w:rsidRPr="002353C1">
        <w:rPr>
          <w:rFonts w:hint="cs"/>
          <w:color w:val="000000"/>
          <w:sz w:val="27"/>
          <w:szCs w:val="27"/>
          <w:rtl/>
        </w:rPr>
        <w:t xml:space="preserve"> </w:t>
      </w:r>
      <w:r w:rsidRPr="002353C1">
        <w:rPr>
          <w:color w:val="000000"/>
          <w:sz w:val="27"/>
          <w:szCs w:val="27"/>
          <w:rtl/>
        </w:rPr>
        <w:t>(15.</w:t>
      </w:r>
      <w:r w:rsidRPr="002353C1">
        <w:rPr>
          <w:rFonts w:hint="cs"/>
          <w:color w:val="000000"/>
          <w:sz w:val="27"/>
          <w:szCs w:val="27"/>
          <w:rtl/>
        </w:rPr>
        <w:t>4</w:t>
      </w:r>
      <w:r w:rsidRPr="002353C1">
        <w:rPr>
          <w:color w:val="000000"/>
          <w:sz w:val="27"/>
          <w:szCs w:val="27"/>
          <w:rtl/>
        </w:rPr>
        <w:t>.2015)</w:t>
      </w:r>
      <w:r w:rsidRPr="002353C1">
        <w:rPr>
          <w:rFonts w:hint="cs"/>
          <w:color w:val="000000"/>
          <w:sz w:val="27"/>
          <w:szCs w:val="27"/>
          <w:rtl/>
        </w:rPr>
        <w:t xml:space="preserve">). </w:t>
      </w:r>
      <w:r>
        <w:rPr>
          <w:rFonts w:hint="cs"/>
          <w:rtl/>
        </w:rPr>
        <w:t xml:space="preserve">זאת, מאחר שהחלת החוק המתקן על בחירות שתבואנה אחרי הבחירות הקרובות לרשויות המקומיות לא תהא נגועה בפרסונליות. </w:t>
      </w:r>
    </w:p>
    <w:p w:rsidR="00553FDC" w:rsidRDefault="00553FDC" w:rsidP="00553FDC">
      <w:pPr>
        <w:pStyle w:val="Ruller41"/>
        <w:ind w:left="720"/>
      </w:pPr>
    </w:p>
    <w:p w:rsidR="00553FDC" w:rsidRPr="001B143E" w:rsidRDefault="00553FDC" w:rsidP="00553FDC">
      <w:pPr>
        <w:pStyle w:val="Ruller41"/>
        <w:numPr>
          <w:ilvl w:val="0"/>
          <w:numId w:val="19"/>
        </w:numPr>
      </w:pPr>
      <w:r>
        <w:rPr>
          <w:rFonts w:hint="cs"/>
          <w:rtl/>
        </w:rPr>
        <w:t xml:space="preserve">מסיבה זו, ועל-מנת לצמצם את התערבותנו בדבר חקיקה, סבורני כי עלינו לדחות את תחולתו של החוק המתקן ליום שיפתח את תקופת הבחירות לרשויות המקומיות אשר תבואנה אחרי הבחירות הקרובות. קביעתנו זו תאפשר למחוקק לשקול ולהחליט אם עודנו חפץ בחוק המתקן כמות שהוא, בכפוף לדחיית תחולתו לבחירות הבאות, ובמידת הצורך לשנותו, להתאימו לנסיבות חדשות, או לבטלו </w:t>
      </w:r>
      <w:r>
        <w:rPr>
          <w:rtl/>
        </w:rPr>
        <w:t>–</w:t>
      </w:r>
      <w:r>
        <w:rPr>
          <w:rFonts w:hint="cs"/>
          <w:rtl/>
        </w:rPr>
        <w:t xml:space="preserve"> כראות עיניו. </w:t>
      </w:r>
    </w:p>
    <w:p w:rsidR="00553FDC" w:rsidRDefault="00553FDC" w:rsidP="00553FDC">
      <w:pPr>
        <w:pStyle w:val="Ruller4"/>
        <w:numPr>
          <w:ilvl w:val="0"/>
          <w:numId w:val="0"/>
        </w:numPr>
        <w:rPr>
          <w:rtl/>
        </w:rPr>
      </w:pPr>
    </w:p>
    <w:p w:rsidR="00553FDC" w:rsidRDefault="00553FDC" w:rsidP="00553FDC">
      <w:pPr>
        <w:pStyle w:val="Ruller4"/>
        <w:rPr>
          <w:rtl/>
        </w:rPr>
      </w:pPr>
      <w:r>
        <w:rPr>
          <w:rFonts w:hint="cs"/>
          <w:rtl/>
        </w:rPr>
        <w:t xml:space="preserve">כעת, אפרט את נימוקיי. במסגרת זאת, אבחן מחדש את מעמדה המשפטי של הכרזת העצמאות על רקע המסמכים הרשמיים שתיעדו את ההחלטות בדבר הקמת המדינה ומוסדותיה. לאחר מכן, אעמוד על טיבו של עיקרון השוויון הגמור, אשר נקבע בהכרזת העצמאות כמגביל את סמכות החקיקה של הכנסת, ועל האיסור החמור על חקיקה פרסונלית אשר נגזר מעיקרון זה. לבסוף, אעמיד את החוק המתקן אל מול איסור זה ואראה כי עסקינן בחוק פרסונלי פסול שהכנסת לא היתה מוסמכת לחוקקו כפי שנחקק. דיון זה יביאני אל השאלה "כיצד לתקן את המעוות?". כפי שכבר צויין על ידי, תשובתי לשאלה זו היא שעלינו לתקן את המעוות בדרך שתמזער ככל שניתן את התערבותנו בעבודת המחוקק </w:t>
      </w:r>
      <w:r>
        <w:rPr>
          <w:rtl/>
        </w:rPr>
        <w:t>–</w:t>
      </w:r>
      <w:r>
        <w:rPr>
          <w:rFonts w:hint="cs"/>
          <w:rtl/>
        </w:rPr>
        <w:t xml:space="preserve"> דרישה שעולה מעיקרון הפרדת הרשויות ומשיקול הדעת העצמאי של בית המחוקקים, שככלל נותן דין וחשבון רק לבוחריו. דרך התיקון שאציע לאמץ תהא זהה לדרכו של חברי, ממלא-מקום הנשיא. הווה אומר: טוב נעשה אם נדחה את תחולתו של החוק המתקן לזמני הבחירות לרשויות המקומיות אשר תבואנה אחרי הבחירות הקרובות.</w:t>
      </w:r>
    </w:p>
    <w:p w:rsidR="00C634B8" w:rsidRPr="00C634B8" w:rsidRDefault="00C634B8" w:rsidP="00C634B8">
      <w:pPr>
        <w:pStyle w:val="Ruller41"/>
        <w:rPr>
          <w:rtl/>
        </w:rPr>
      </w:pPr>
    </w:p>
    <w:p w:rsidR="00553FDC" w:rsidRPr="008B5660" w:rsidRDefault="00553FDC" w:rsidP="00553FDC">
      <w:pPr>
        <w:pStyle w:val="Ruller41"/>
        <w:rPr>
          <w:rFonts w:ascii="Century" w:hAnsi="Century" w:cs="Miriam"/>
          <w:b/>
          <w:spacing w:val="0"/>
          <w:szCs w:val="24"/>
          <w:rtl/>
        </w:rPr>
      </w:pPr>
      <w:r w:rsidRPr="008B5660">
        <w:rPr>
          <w:rFonts w:ascii="Century" w:hAnsi="Century" w:cs="Miriam" w:hint="cs"/>
          <w:b/>
          <w:spacing w:val="0"/>
          <w:szCs w:val="24"/>
          <w:rtl/>
        </w:rPr>
        <w:t xml:space="preserve">הכרזת העצמאות </w:t>
      </w:r>
      <w:r>
        <w:rPr>
          <w:rFonts w:ascii="Century" w:hAnsi="Century" w:cs="Miriam" w:hint="cs"/>
          <w:b/>
          <w:spacing w:val="0"/>
          <w:szCs w:val="24"/>
          <w:rtl/>
        </w:rPr>
        <w:t>כמסד-יסוד</w:t>
      </w:r>
      <w:r w:rsidRPr="008B5660">
        <w:rPr>
          <w:rFonts w:ascii="Century" w:hAnsi="Century" w:cs="Miriam" w:hint="cs"/>
          <w:b/>
          <w:spacing w:val="0"/>
          <w:szCs w:val="24"/>
          <w:rtl/>
        </w:rPr>
        <w:t xml:space="preserve"> לסמכות החקיקה של הכנסת (ה-</w:t>
      </w:r>
      <w:r w:rsidRPr="008B5660">
        <w:rPr>
          <w:rFonts w:asciiTheme="majorBidi" w:hAnsiTheme="majorBidi" w:cstheme="majorBidi"/>
          <w:bCs/>
          <w:spacing w:val="0"/>
          <w:sz w:val="24"/>
          <w:szCs w:val="24"/>
        </w:rPr>
        <w:t>rule of recognition</w:t>
      </w:r>
      <w:r w:rsidRPr="008B5660">
        <w:rPr>
          <w:rFonts w:ascii="Century" w:hAnsi="Century" w:cs="Miriam" w:hint="cs"/>
          <w:b/>
          <w:spacing w:val="0"/>
          <w:szCs w:val="24"/>
          <w:rtl/>
        </w:rPr>
        <w:t>)</w:t>
      </w:r>
    </w:p>
    <w:p w:rsidR="00553FDC" w:rsidRDefault="00553FDC" w:rsidP="00553FDC">
      <w:pPr>
        <w:pStyle w:val="Ruller41"/>
        <w:rPr>
          <w:rtl/>
        </w:rPr>
      </w:pPr>
      <w:r>
        <w:rPr>
          <w:rFonts w:hint="cs"/>
          <w:rtl/>
        </w:rPr>
        <w:t xml:space="preserve"> </w:t>
      </w:r>
    </w:p>
    <w:p w:rsidR="00553FDC" w:rsidRDefault="00553FDC" w:rsidP="00553FDC">
      <w:pPr>
        <w:pStyle w:val="Ruller4"/>
      </w:pPr>
      <w:r w:rsidRPr="00BC79DB">
        <w:rPr>
          <w:rFonts w:ascii="Century" w:hAnsi="Century" w:hint="cs"/>
          <w:sz w:val="22"/>
          <w:rtl/>
        </w:rPr>
        <w:t>בפתח הדברים,</w:t>
      </w:r>
      <w:r>
        <w:rPr>
          <w:rFonts w:ascii="Century" w:hAnsi="Century" w:cs="Miriam" w:hint="cs"/>
          <w:b/>
          <w:spacing w:val="0"/>
          <w:sz w:val="22"/>
          <w:szCs w:val="24"/>
          <w:rtl/>
        </w:rPr>
        <w:t xml:space="preserve"> אשאל</w:t>
      </w:r>
      <w:r w:rsidRPr="0055593B">
        <w:rPr>
          <w:rFonts w:ascii="Century" w:hAnsi="Century" w:cs="Miriam" w:hint="cs"/>
          <w:b/>
          <w:spacing w:val="0"/>
          <w:sz w:val="22"/>
          <w:szCs w:val="24"/>
          <w:rtl/>
        </w:rPr>
        <w:t xml:space="preserve"> </w:t>
      </w:r>
      <w:r>
        <w:rPr>
          <w:rFonts w:ascii="Century" w:hAnsi="Century" w:cs="Miriam" w:hint="cs"/>
          <w:b/>
          <w:spacing w:val="0"/>
          <w:sz w:val="22"/>
          <w:szCs w:val="24"/>
          <w:rtl/>
        </w:rPr>
        <w:t xml:space="preserve">את </w:t>
      </w:r>
      <w:r w:rsidRPr="0055593B">
        <w:rPr>
          <w:rFonts w:ascii="Century" w:hAnsi="Century" w:cs="Miriam" w:hint="cs"/>
          <w:b/>
          <w:spacing w:val="0"/>
          <w:sz w:val="22"/>
          <w:szCs w:val="24"/>
          <w:rtl/>
        </w:rPr>
        <w:t>שאלת-השאלות: "מניין לנו ש</w:t>
      </w:r>
      <w:r>
        <w:rPr>
          <w:rFonts w:ascii="Century" w:hAnsi="Century" w:cs="Miriam" w:hint="cs"/>
          <w:b/>
          <w:spacing w:val="0"/>
          <w:sz w:val="22"/>
          <w:szCs w:val="24"/>
          <w:rtl/>
        </w:rPr>
        <w:t>ה</w:t>
      </w:r>
      <w:r w:rsidRPr="0055593B">
        <w:rPr>
          <w:rFonts w:ascii="Century" w:hAnsi="Century" w:cs="Miriam" w:hint="cs"/>
          <w:b/>
          <w:spacing w:val="0"/>
          <w:sz w:val="22"/>
          <w:szCs w:val="24"/>
          <w:rtl/>
        </w:rPr>
        <w:t xml:space="preserve">דמוקרטיה </w:t>
      </w:r>
      <w:r>
        <w:rPr>
          <w:rFonts w:ascii="Century" w:hAnsi="Century" w:cs="Miriam" w:hint="cs"/>
          <w:b/>
          <w:spacing w:val="0"/>
          <w:sz w:val="22"/>
          <w:szCs w:val="24"/>
          <w:rtl/>
        </w:rPr>
        <w:t>ה</w:t>
      </w:r>
      <w:r w:rsidRPr="0055593B">
        <w:rPr>
          <w:rFonts w:ascii="Century" w:hAnsi="Century" w:cs="Miriam" w:hint="cs"/>
          <w:b/>
          <w:spacing w:val="0"/>
          <w:sz w:val="22"/>
          <w:szCs w:val="24"/>
          <w:rtl/>
        </w:rPr>
        <w:t xml:space="preserve">ישראלית הסמיכה את הכנסת לחוקק </w:t>
      </w:r>
      <w:r w:rsidRPr="009F1F9D">
        <w:rPr>
          <w:rFonts w:ascii="Century" w:hAnsi="Century" w:cs="Miriam" w:hint="cs"/>
          <w:b/>
          <w:spacing w:val="0"/>
          <w:sz w:val="22"/>
          <w:szCs w:val="24"/>
          <w:u w:val="single"/>
          <w:rtl/>
        </w:rPr>
        <w:t>כל חוק</w:t>
      </w:r>
      <w:r w:rsidRPr="0055593B">
        <w:rPr>
          <w:rFonts w:ascii="Century" w:hAnsi="Century" w:cs="Miriam" w:hint="cs"/>
          <w:b/>
          <w:spacing w:val="0"/>
          <w:sz w:val="22"/>
          <w:szCs w:val="24"/>
          <w:rtl/>
        </w:rPr>
        <w:t xml:space="preserve"> שת</w:t>
      </w:r>
      <w:r>
        <w:rPr>
          <w:rFonts w:ascii="Century" w:hAnsi="Century" w:cs="Miriam" w:hint="cs"/>
          <w:b/>
          <w:spacing w:val="0"/>
          <w:sz w:val="22"/>
          <w:szCs w:val="24"/>
          <w:rtl/>
        </w:rPr>
        <w:t>מצא</w:t>
      </w:r>
      <w:r w:rsidRPr="0055593B">
        <w:rPr>
          <w:rFonts w:ascii="Century" w:hAnsi="Century" w:cs="Miriam" w:hint="cs"/>
          <w:b/>
          <w:spacing w:val="0"/>
          <w:sz w:val="22"/>
          <w:szCs w:val="24"/>
          <w:rtl/>
        </w:rPr>
        <w:t xml:space="preserve"> לנכון?".</w:t>
      </w:r>
      <w:r>
        <w:rPr>
          <w:rFonts w:hint="cs"/>
          <w:rtl/>
        </w:rPr>
        <w:t xml:space="preserve"> </w:t>
      </w:r>
    </w:p>
    <w:p w:rsidR="00553FDC" w:rsidRDefault="00553FDC" w:rsidP="00553FDC">
      <w:pPr>
        <w:pStyle w:val="Ruller4"/>
        <w:numPr>
          <w:ilvl w:val="0"/>
          <w:numId w:val="0"/>
        </w:numPr>
      </w:pPr>
    </w:p>
    <w:p w:rsidR="00553FDC" w:rsidRDefault="00553FDC" w:rsidP="00553FDC">
      <w:pPr>
        <w:pStyle w:val="Ruller4"/>
      </w:pPr>
      <w:r>
        <w:rPr>
          <w:rFonts w:hint="cs"/>
          <w:rtl/>
        </w:rPr>
        <w:t>לשאלה זו לא נמצא תשובה מוסכמת או מוסמכת אשר מעוגנת באסמכתא משפטית פורמלית כלשהי, ולכך יש סיבה פשוטה. הכנסת מעולם לא קיבלה לידיה הסמכה גורפת לחוקק כל חוק שתמצא לנכון; וכפועל יוצא מכך, הכנסת ממילא לא יכלה לחוקק שום חוק שמתיימר להקנות לה סמכות כה רחבה. כפי שאראה בהמשך דבריי</w:t>
      </w:r>
      <w:r w:rsidRPr="00BC79DB">
        <w:rPr>
          <w:rFonts w:hint="cs"/>
          <w:rtl/>
        </w:rPr>
        <w:t xml:space="preserve">, </w:t>
      </w:r>
      <w:r>
        <w:rPr>
          <w:rFonts w:ascii="Century" w:hAnsi="Century" w:cs="Miriam" w:hint="cs"/>
          <w:b/>
          <w:spacing w:val="0"/>
          <w:sz w:val="22"/>
          <w:szCs w:val="24"/>
          <w:rtl/>
        </w:rPr>
        <w:t>סמכותה</w:t>
      </w:r>
      <w:r w:rsidRPr="00BC79DB">
        <w:rPr>
          <w:rFonts w:ascii="Century" w:hAnsi="Century" w:cs="Miriam" w:hint="cs"/>
          <w:b/>
          <w:spacing w:val="0"/>
          <w:sz w:val="22"/>
          <w:szCs w:val="24"/>
          <w:rtl/>
        </w:rPr>
        <w:t xml:space="preserve"> של הכנסת לחוקק חוקים הוגבל</w:t>
      </w:r>
      <w:r>
        <w:rPr>
          <w:rFonts w:ascii="Century" w:hAnsi="Century" w:cs="Miriam" w:hint="cs"/>
          <w:b/>
          <w:spacing w:val="0"/>
          <w:sz w:val="22"/>
          <w:szCs w:val="24"/>
          <w:rtl/>
        </w:rPr>
        <w:t>ה</w:t>
      </w:r>
      <w:r w:rsidRPr="00BC79DB">
        <w:rPr>
          <w:rFonts w:ascii="Century" w:hAnsi="Century" w:cs="Miriam" w:hint="cs"/>
          <w:b/>
          <w:spacing w:val="0"/>
          <w:sz w:val="22"/>
          <w:szCs w:val="24"/>
          <w:rtl/>
        </w:rPr>
        <w:t xml:space="preserve"> מעיקר</w:t>
      </w:r>
      <w:r>
        <w:rPr>
          <w:rFonts w:ascii="Century" w:hAnsi="Century" w:cs="Miriam" w:hint="cs"/>
          <w:b/>
          <w:spacing w:val="0"/>
          <w:sz w:val="22"/>
          <w:szCs w:val="24"/>
          <w:rtl/>
        </w:rPr>
        <w:t>ה</w:t>
      </w:r>
      <w:r w:rsidRPr="00BC79DB">
        <w:rPr>
          <w:rFonts w:ascii="Century" w:hAnsi="Century" w:cs="Miriam" w:hint="cs"/>
          <w:b/>
          <w:spacing w:val="0"/>
          <w:sz w:val="22"/>
          <w:szCs w:val="24"/>
          <w:rtl/>
        </w:rPr>
        <w:t xml:space="preserve"> במעמד הסמכת</w:t>
      </w:r>
      <w:r>
        <w:rPr>
          <w:rFonts w:ascii="Century" w:hAnsi="Century" w:cs="Miriam" w:hint="cs"/>
          <w:b/>
          <w:spacing w:val="0"/>
          <w:sz w:val="22"/>
          <w:szCs w:val="24"/>
          <w:rtl/>
        </w:rPr>
        <w:t xml:space="preserve"> קודמתה </w:t>
      </w:r>
      <w:r>
        <w:rPr>
          <w:rFonts w:ascii="Century" w:hAnsi="Century" w:cs="Miriam"/>
          <w:b/>
          <w:spacing w:val="0"/>
          <w:sz w:val="22"/>
          <w:szCs w:val="24"/>
          <w:rtl/>
        </w:rPr>
        <w:t>–</w:t>
      </w:r>
      <w:r>
        <w:rPr>
          <w:rFonts w:ascii="Century" w:hAnsi="Century" w:cs="Miriam" w:hint="cs"/>
          <w:b/>
          <w:spacing w:val="0"/>
          <w:sz w:val="22"/>
          <w:szCs w:val="24"/>
          <w:rtl/>
        </w:rPr>
        <w:t xml:space="preserve"> מועצת המדינה הזמנית </w:t>
      </w:r>
      <w:r>
        <w:rPr>
          <w:rFonts w:ascii="Century" w:hAnsi="Century" w:cs="Miriam"/>
          <w:b/>
          <w:spacing w:val="0"/>
          <w:sz w:val="22"/>
          <w:szCs w:val="24"/>
          <w:rtl/>
        </w:rPr>
        <w:t>–</w:t>
      </w:r>
      <w:r>
        <w:rPr>
          <w:rFonts w:ascii="Century" w:hAnsi="Century" w:cs="Miriam" w:hint="cs"/>
          <w:b/>
          <w:spacing w:val="0"/>
          <w:sz w:val="22"/>
          <w:szCs w:val="24"/>
          <w:rtl/>
        </w:rPr>
        <w:t xml:space="preserve"> </w:t>
      </w:r>
      <w:r w:rsidRPr="006C6369">
        <w:rPr>
          <w:rFonts w:ascii="Century" w:hAnsi="Century" w:cs="Miriam" w:hint="cs"/>
          <w:b/>
          <w:spacing w:val="0"/>
          <w:sz w:val="22"/>
          <w:szCs w:val="24"/>
          <w:rtl/>
        </w:rPr>
        <w:t>כמוסד מחוקק של מדינת ישראל</w:t>
      </w:r>
      <w:r w:rsidRPr="00BC79DB">
        <w:rPr>
          <w:rFonts w:hint="cs"/>
          <w:rtl/>
        </w:rPr>
        <w:t>.</w:t>
      </w:r>
    </w:p>
    <w:p w:rsidR="00553FDC" w:rsidRPr="00163753" w:rsidRDefault="00553FDC" w:rsidP="00553FDC">
      <w:pPr>
        <w:pStyle w:val="Ruller4"/>
      </w:pPr>
      <w:r>
        <w:rPr>
          <w:rFonts w:hint="cs"/>
          <w:rtl/>
        </w:rPr>
        <w:lastRenderedPageBreak/>
        <w:t xml:space="preserve">הכנסת הנוכחית, וכל כנסת שקדמה לה, ירשה את סמכויות החקיקה שהוענקו למועצת המדינה הזמנית </w:t>
      </w:r>
      <w:r>
        <w:rPr>
          <w:rtl/>
        </w:rPr>
        <w:t>–</w:t>
      </w:r>
      <w:r>
        <w:rPr>
          <w:rFonts w:hint="cs"/>
          <w:rtl/>
        </w:rPr>
        <w:t xml:space="preserve"> ובעקבותיה, לכנסת הראשונה ולאלה שבאו אחריה </w:t>
      </w:r>
      <w:r>
        <w:rPr>
          <w:rtl/>
        </w:rPr>
        <w:t>–</w:t>
      </w:r>
      <w:r>
        <w:rPr>
          <w:rFonts w:hint="cs"/>
          <w:rtl/>
        </w:rPr>
        <w:t xml:space="preserve"> בהקמת המדינה בחודש מאי 1948. סמכויות אלה לא גדלו ולא קטנו, אלא נשארו כמות-שהן עד עצם היום הזה. </w:t>
      </w:r>
      <w:r w:rsidRPr="006C6369">
        <w:rPr>
          <w:rFonts w:ascii="Century" w:hAnsi="Century" w:cs="Miriam" w:hint="cs"/>
          <w:b/>
          <w:spacing w:val="0"/>
          <w:sz w:val="22"/>
          <w:szCs w:val="24"/>
          <w:rtl/>
        </w:rPr>
        <w:t xml:space="preserve">קיומן וגבולותיהן של סמכויות אלה נגזרים מהכרתו של העם, שישב בציון בהקמת המדינה, בכוחה של הכנסת לחוקק חוקים </w:t>
      </w:r>
      <w:r w:rsidRPr="006C6369">
        <w:rPr>
          <w:rFonts w:ascii="Century" w:hAnsi="Century" w:cs="Miriam"/>
          <w:b/>
          <w:spacing w:val="0"/>
          <w:sz w:val="22"/>
          <w:szCs w:val="24"/>
          <w:rtl/>
        </w:rPr>
        <w:t>–</w:t>
      </w:r>
      <w:r w:rsidRPr="006C6369">
        <w:rPr>
          <w:rFonts w:ascii="Century" w:hAnsi="Century" w:cs="Miriam" w:hint="cs"/>
          <w:b/>
          <w:spacing w:val="0"/>
          <w:sz w:val="22"/>
          <w:szCs w:val="24"/>
          <w:rtl/>
        </w:rPr>
        <w:t xml:space="preserve"> כפי שתועד במסמכי ההקמה של המדינה, ובראשם הכרזת העצמאות.</w:t>
      </w:r>
      <w:r>
        <w:rPr>
          <w:rFonts w:hint="cs"/>
          <w:rtl/>
        </w:rPr>
        <w:t xml:space="preserve"> </w:t>
      </w:r>
      <w:r w:rsidRPr="006C6369">
        <w:rPr>
          <w:rFonts w:ascii="Century" w:hAnsi="Century" w:cs="Miriam" w:hint="cs"/>
          <w:b/>
          <w:spacing w:val="0"/>
          <w:sz w:val="22"/>
          <w:szCs w:val="24"/>
          <w:u w:val="single"/>
          <w:rtl/>
        </w:rPr>
        <w:t>הכרה זו, בגבולות שניתנה, מהווה מסד הסמכות הבראשיתי והבלעדי לחקיקת חוקי המדינה.</w:t>
      </w:r>
      <w:r w:rsidRPr="006C6369">
        <w:rPr>
          <w:rFonts w:ascii="Century" w:hAnsi="Century" w:cs="Miriam" w:hint="cs"/>
          <w:b/>
          <w:spacing w:val="0"/>
          <w:sz w:val="22"/>
          <w:szCs w:val="24"/>
          <w:rtl/>
        </w:rPr>
        <w:t xml:space="preserve"> </w:t>
      </w:r>
      <w:r>
        <w:rPr>
          <w:rFonts w:hint="cs"/>
          <w:rtl/>
        </w:rPr>
        <w:t xml:space="preserve">בלעדי הכרה כאמור, לשום חוק שחוקק על ידי הכנסת לא היה מקור סמכות בעל תוקף משפטי מחייב. </w:t>
      </w:r>
      <w:r w:rsidRPr="006C6369">
        <w:rPr>
          <w:rFonts w:ascii="Century" w:hAnsi="Century" w:cs="Miriam" w:hint="cs"/>
          <w:b/>
          <w:spacing w:val="0"/>
          <w:sz w:val="22"/>
          <w:szCs w:val="24"/>
          <w:rtl/>
        </w:rPr>
        <w:t xml:space="preserve">הכרה כאמור, יחד עם מסמכי ההקמה שתיעדו אותה </w:t>
      </w:r>
      <w:r w:rsidRPr="006C6369">
        <w:rPr>
          <w:rFonts w:ascii="Century" w:hAnsi="Century" w:cs="Miriam"/>
          <w:b/>
          <w:spacing w:val="0"/>
          <w:sz w:val="22"/>
          <w:szCs w:val="24"/>
          <w:rtl/>
        </w:rPr>
        <w:t>–</w:t>
      </w:r>
      <w:r w:rsidRPr="006C6369">
        <w:rPr>
          <w:rFonts w:ascii="Century" w:hAnsi="Century" w:cs="Miriam" w:hint="cs"/>
          <w:b/>
          <w:spacing w:val="0"/>
          <w:sz w:val="22"/>
          <w:szCs w:val="24"/>
          <w:rtl/>
        </w:rPr>
        <w:t xml:space="preserve"> ובראשם הכרזת העצמאות </w:t>
      </w:r>
      <w:r w:rsidRPr="006C6369">
        <w:rPr>
          <w:rFonts w:ascii="Century" w:hAnsi="Century" w:cs="Miriam"/>
          <w:b/>
          <w:spacing w:val="0"/>
          <w:sz w:val="22"/>
          <w:szCs w:val="24"/>
          <w:rtl/>
        </w:rPr>
        <w:t>–</w:t>
      </w:r>
      <w:r w:rsidRPr="006C6369">
        <w:rPr>
          <w:rFonts w:ascii="Century" w:hAnsi="Century" w:cs="Miriam" w:hint="cs"/>
          <w:b/>
          <w:spacing w:val="0"/>
          <w:sz w:val="22"/>
          <w:szCs w:val="24"/>
          <w:rtl/>
        </w:rPr>
        <w:t xml:space="preserve"> הם אלה שיצרו וקיימו את "כלל ההכרה" הבסיסי </w:t>
      </w:r>
      <w:r w:rsidRPr="006C6369">
        <w:rPr>
          <w:rFonts w:asciiTheme="majorBidi" w:hAnsiTheme="majorBidi" w:cstheme="majorBidi"/>
          <w:b/>
          <w:spacing w:val="0"/>
          <w:sz w:val="22"/>
          <w:szCs w:val="24"/>
          <w:rtl/>
        </w:rPr>
        <w:t>(</w:t>
      </w:r>
      <w:r w:rsidRPr="006C6369">
        <w:rPr>
          <w:rFonts w:asciiTheme="majorBidi" w:hAnsiTheme="majorBidi" w:cstheme="majorBidi"/>
          <w:bCs/>
          <w:spacing w:val="0"/>
          <w:szCs w:val="24"/>
        </w:rPr>
        <w:t>the rule of recognition</w:t>
      </w:r>
      <w:r w:rsidRPr="006C6369">
        <w:rPr>
          <w:rFonts w:asciiTheme="majorBidi" w:hAnsiTheme="majorBidi" w:cstheme="majorBidi"/>
          <w:b/>
          <w:spacing w:val="0"/>
          <w:sz w:val="22"/>
          <w:szCs w:val="24"/>
          <w:rtl/>
        </w:rPr>
        <w:t>)</w:t>
      </w:r>
      <w:r w:rsidRPr="006C6369">
        <w:rPr>
          <w:rFonts w:ascii="Century" w:hAnsi="Century" w:cs="Miriam" w:hint="cs"/>
          <w:b/>
          <w:spacing w:val="0"/>
          <w:sz w:val="22"/>
          <w:szCs w:val="24"/>
          <w:rtl/>
        </w:rPr>
        <w:t xml:space="preserve"> עליו עומד משפט המדינה כולו, ובלעדיו אין</w:t>
      </w:r>
      <w:r>
        <w:rPr>
          <w:rFonts w:hint="cs"/>
          <w:rtl/>
        </w:rPr>
        <w:t xml:space="preserve"> (ראו: </w:t>
      </w:r>
      <w:r w:rsidRPr="006C6369">
        <w:rPr>
          <w:rFonts w:asciiTheme="majorBidi" w:hAnsiTheme="majorBidi" w:cstheme="majorBidi"/>
          <w:smallCaps/>
        </w:rPr>
        <w:t>H.L.A. Hart, The Concept of Law 97-107 (1961)</w:t>
      </w:r>
      <w:r>
        <w:rPr>
          <w:rFonts w:hint="cs"/>
          <w:rtl/>
        </w:rPr>
        <w:t xml:space="preserve">). </w:t>
      </w:r>
    </w:p>
    <w:p w:rsidR="00553FDC" w:rsidRDefault="00553FDC" w:rsidP="00553FDC">
      <w:pPr>
        <w:pStyle w:val="Ruller4"/>
        <w:numPr>
          <w:ilvl w:val="0"/>
          <w:numId w:val="0"/>
        </w:numPr>
      </w:pPr>
    </w:p>
    <w:p w:rsidR="00553FDC" w:rsidRDefault="00553FDC" w:rsidP="00553FDC">
      <w:pPr>
        <w:pStyle w:val="Ruller4"/>
        <w:rPr>
          <w:rtl/>
        </w:rPr>
      </w:pPr>
      <w:r>
        <w:rPr>
          <w:rFonts w:hint="cs"/>
          <w:rtl/>
        </w:rPr>
        <w:t xml:space="preserve">מסמכי ההקמה אשר תיעדו את הסמכת הכנסת לחוקק חוקים, ואשר קבעו את גבולות הסמכה כאמור, כוללים את אלו: </w:t>
      </w:r>
      <w:r w:rsidRPr="006E4D1A">
        <w:rPr>
          <w:rFonts w:ascii="Century" w:hAnsi="Century" w:cs="Miriam" w:hint="cs"/>
          <w:b/>
          <w:spacing w:val="0"/>
          <w:sz w:val="22"/>
          <w:szCs w:val="24"/>
          <w:u w:val="single"/>
          <w:rtl/>
        </w:rPr>
        <w:t>המנשר</w:t>
      </w:r>
      <w:r>
        <w:rPr>
          <w:rFonts w:hint="cs"/>
          <w:rtl/>
        </w:rPr>
        <w:t xml:space="preserve"> </w:t>
      </w:r>
      <w:r w:rsidRPr="00F86A84">
        <w:rPr>
          <w:rFonts w:hint="eastAsia"/>
          <w:rtl/>
        </w:rPr>
        <w:t>שפורסם</w:t>
      </w:r>
      <w:r w:rsidRPr="00F86A84">
        <w:rPr>
          <w:rtl/>
        </w:rPr>
        <w:t xml:space="preserve"> </w:t>
      </w:r>
      <w:r w:rsidRPr="00F86A84">
        <w:rPr>
          <w:rFonts w:hint="eastAsia"/>
          <w:rtl/>
        </w:rPr>
        <w:t>מטעם</w:t>
      </w:r>
      <w:r w:rsidRPr="00F86A84">
        <w:rPr>
          <w:rtl/>
        </w:rPr>
        <w:t xml:space="preserve"> </w:t>
      </w:r>
      <w:r w:rsidRPr="00F86A84">
        <w:rPr>
          <w:rFonts w:hint="eastAsia"/>
          <w:rtl/>
        </w:rPr>
        <w:t>מועצת</w:t>
      </w:r>
      <w:r w:rsidRPr="00F86A84">
        <w:rPr>
          <w:rtl/>
        </w:rPr>
        <w:t xml:space="preserve"> </w:t>
      </w:r>
      <w:r w:rsidRPr="00F86A84">
        <w:rPr>
          <w:rFonts w:hint="eastAsia"/>
          <w:rtl/>
        </w:rPr>
        <w:t>המדינה</w:t>
      </w:r>
      <w:r w:rsidRPr="00F86A84">
        <w:rPr>
          <w:rtl/>
        </w:rPr>
        <w:t xml:space="preserve"> </w:t>
      </w:r>
      <w:r w:rsidRPr="00F86A84">
        <w:rPr>
          <w:rFonts w:hint="eastAsia"/>
          <w:rtl/>
        </w:rPr>
        <w:t>הזמנית</w:t>
      </w:r>
      <w:r w:rsidRPr="00F86A84">
        <w:rPr>
          <w:rtl/>
        </w:rPr>
        <w:t xml:space="preserve"> </w:t>
      </w:r>
      <w:r w:rsidRPr="00F86A84">
        <w:rPr>
          <w:rFonts w:hint="eastAsia"/>
          <w:rtl/>
        </w:rPr>
        <w:t>בה</w:t>
      </w:r>
      <w:r w:rsidRPr="00F86A84">
        <w:rPr>
          <w:rtl/>
        </w:rPr>
        <w:t xml:space="preserve">' </w:t>
      </w:r>
      <w:r w:rsidRPr="00F86A84">
        <w:rPr>
          <w:rFonts w:hint="eastAsia"/>
          <w:rtl/>
        </w:rPr>
        <w:t>באייר</w:t>
      </w:r>
      <w:r w:rsidRPr="00F86A84">
        <w:rPr>
          <w:rtl/>
        </w:rPr>
        <w:t xml:space="preserve">, </w:t>
      </w:r>
      <w:r w:rsidRPr="00F86A84">
        <w:rPr>
          <w:rFonts w:hint="eastAsia"/>
          <w:rtl/>
        </w:rPr>
        <w:t>תש</w:t>
      </w:r>
      <w:r w:rsidRPr="00F86A84">
        <w:rPr>
          <w:rtl/>
        </w:rPr>
        <w:t>"</w:t>
      </w:r>
      <w:r w:rsidRPr="00F86A84">
        <w:rPr>
          <w:rFonts w:hint="eastAsia"/>
          <w:rtl/>
        </w:rPr>
        <w:t>ח</w:t>
      </w:r>
      <w:r>
        <w:rPr>
          <w:rFonts w:hint="cs"/>
          <w:rtl/>
        </w:rPr>
        <w:t xml:space="preserve">, 14.5.1948 (להלן: </w:t>
      </w:r>
      <w:r w:rsidRPr="00C75A74">
        <w:rPr>
          <w:rFonts w:ascii="Century" w:hAnsi="Century" w:cs="Miriam" w:hint="cs"/>
          <w:b/>
          <w:spacing w:val="0"/>
          <w:sz w:val="22"/>
          <w:szCs w:val="24"/>
          <w:rtl/>
        </w:rPr>
        <w:t>המנשר</w:t>
      </w:r>
      <w:r>
        <w:rPr>
          <w:rFonts w:hint="cs"/>
          <w:rtl/>
        </w:rPr>
        <w:t xml:space="preserve">); </w:t>
      </w:r>
      <w:r w:rsidRPr="006E4D1A">
        <w:rPr>
          <w:rFonts w:ascii="Century" w:hAnsi="Century" w:cs="Miriam" w:hint="eastAsia"/>
          <w:b/>
          <w:spacing w:val="0"/>
          <w:sz w:val="22"/>
          <w:szCs w:val="24"/>
          <w:u w:val="single"/>
          <w:rtl/>
        </w:rPr>
        <w:t>פקודת</w:t>
      </w:r>
      <w:r w:rsidRPr="006E4D1A">
        <w:rPr>
          <w:rFonts w:ascii="Century" w:hAnsi="Century" w:cs="Miriam"/>
          <w:b/>
          <w:spacing w:val="0"/>
          <w:sz w:val="22"/>
          <w:szCs w:val="24"/>
          <w:u w:val="single"/>
          <w:rtl/>
        </w:rPr>
        <w:t xml:space="preserve"> </w:t>
      </w:r>
      <w:r w:rsidRPr="006E4D1A">
        <w:rPr>
          <w:rFonts w:ascii="Century" w:hAnsi="Century" w:cs="Miriam" w:hint="eastAsia"/>
          <w:b/>
          <w:spacing w:val="0"/>
          <w:sz w:val="22"/>
          <w:szCs w:val="24"/>
          <w:u w:val="single"/>
          <w:rtl/>
        </w:rPr>
        <w:t>סדרי</w:t>
      </w:r>
      <w:r w:rsidRPr="006E4D1A">
        <w:rPr>
          <w:rFonts w:ascii="Century" w:hAnsi="Century" w:cs="Miriam"/>
          <w:b/>
          <w:spacing w:val="0"/>
          <w:sz w:val="22"/>
          <w:szCs w:val="24"/>
          <w:u w:val="single"/>
          <w:rtl/>
        </w:rPr>
        <w:t xml:space="preserve"> </w:t>
      </w:r>
      <w:r w:rsidRPr="006E4D1A">
        <w:rPr>
          <w:rFonts w:ascii="Century" w:hAnsi="Century" w:cs="Miriam" w:hint="cs"/>
          <w:b/>
          <w:spacing w:val="0"/>
          <w:sz w:val="22"/>
          <w:szCs w:val="24"/>
          <w:u w:val="single"/>
          <w:rtl/>
        </w:rPr>
        <w:t>ה</w:t>
      </w:r>
      <w:r w:rsidRPr="006E4D1A">
        <w:rPr>
          <w:rFonts w:ascii="Century" w:hAnsi="Century" w:cs="Miriam" w:hint="eastAsia"/>
          <w:b/>
          <w:spacing w:val="0"/>
          <w:sz w:val="22"/>
          <w:szCs w:val="24"/>
          <w:u w:val="single"/>
          <w:rtl/>
        </w:rPr>
        <w:t>שלטון</w:t>
      </w:r>
      <w:r w:rsidRPr="006E4D1A">
        <w:rPr>
          <w:rFonts w:ascii="Century" w:hAnsi="Century" w:cs="Miriam"/>
          <w:b/>
          <w:spacing w:val="0"/>
          <w:sz w:val="22"/>
          <w:szCs w:val="24"/>
          <w:u w:val="single"/>
          <w:rtl/>
        </w:rPr>
        <w:t xml:space="preserve"> </w:t>
      </w:r>
      <w:r w:rsidRPr="006E4D1A">
        <w:rPr>
          <w:rFonts w:ascii="Century" w:hAnsi="Century" w:cs="Miriam" w:hint="eastAsia"/>
          <w:b/>
          <w:spacing w:val="0"/>
          <w:sz w:val="22"/>
          <w:szCs w:val="24"/>
          <w:u w:val="single"/>
          <w:rtl/>
        </w:rPr>
        <w:t>ו</w:t>
      </w:r>
      <w:r w:rsidRPr="006E4D1A">
        <w:rPr>
          <w:rFonts w:ascii="Century" w:hAnsi="Century" w:cs="Miriam" w:hint="cs"/>
          <w:b/>
          <w:spacing w:val="0"/>
          <w:sz w:val="22"/>
          <w:szCs w:val="24"/>
          <w:u w:val="single"/>
          <w:rtl/>
        </w:rPr>
        <w:t>ה</w:t>
      </w:r>
      <w:r w:rsidRPr="006E4D1A">
        <w:rPr>
          <w:rFonts w:ascii="Century" w:hAnsi="Century" w:cs="Miriam" w:hint="eastAsia"/>
          <w:b/>
          <w:spacing w:val="0"/>
          <w:sz w:val="22"/>
          <w:szCs w:val="24"/>
          <w:u w:val="single"/>
          <w:rtl/>
        </w:rPr>
        <w:t>משפט</w:t>
      </w:r>
      <w:r>
        <w:rPr>
          <w:rFonts w:hint="cs"/>
          <w:rtl/>
        </w:rPr>
        <w:t xml:space="preserve">, התש"ח-1948 (להלן: </w:t>
      </w:r>
      <w:r w:rsidRPr="00B650C6">
        <w:rPr>
          <w:rFonts w:ascii="Century" w:hAnsi="Century" w:cs="Miriam" w:hint="eastAsia"/>
          <w:b/>
          <w:spacing w:val="0"/>
          <w:sz w:val="22"/>
          <w:szCs w:val="24"/>
          <w:rtl/>
        </w:rPr>
        <w:t>פקודת</w:t>
      </w:r>
      <w:r w:rsidRPr="00B650C6">
        <w:rPr>
          <w:rFonts w:ascii="Century" w:hAnsi="Century" w:cs="Miriam"/>
          <w:b/>
          <w:spacing w:val="0"/>
          <w:sz w:val="22"/>
          <w:szCs w:val="24"/>
          <w:rtl/>
        </w:rPr>
        <w:t xml:space="preserve"> </w:t>
      </w:r>
      <w:r w:rsidRPr="00B650C6">
        <w:rPr>
          <w:rFonts w:ascii="Century" w:hAnsi="Century" w:cs="Miriam" w:hint="eastAsia"/>
          <w:b/>
          <w:spacing w:val="0"/>
          <w:sz w:val="22"/>
          <w:szCs w:val="24"/>
          <w:rtl/>
        </w:rPr>
        <w:t>סדרי</w:t>
      </w:r>
      <w:r w:rsidRPr="00B650C6">
        <w:rPr>
          <w:rFonts w:ascii="Century" w:hAnsi="Century" w:cs="Miriam"/>
          <w:b/>
          <w:spacing w:val="0"/>
          <w:sz w:val="22"/>
          <w:szCs w:val="24"/>
          <w:rtl/>
        </w:rPr>
        <w:t xml:space="preserve"> </w:t>
      </w:r>
      <w:r w:rsidRPr="00B650C6">
        <w:rPr>
          <w:rFonts w:ascii="Century" w:hAnsi="Century" w:cs="Miriam" w:hint="eastAsia"/>
          <w:b/>
          <w:spacing w:val="0"/>
          <w:sz w:val="22"/>
          <w:szCs w:val="24"/>
          <w:rtl/>
        </w:rPr>
        <w:t>השלטון</w:t>
      </w:r>
      <w:r w:rsidRPr="00B650C6">
        <w:rPr>
          <w:rFonts w:ascii="Century" w:hAnsi="Century" w:cs="Miriam"/>
          <w:b/>
          <w:spacing w:val="0"/>
          <w:sz w:val="22"/>
          <w:szCs w:val="24"/>
          <w:rtl/>
        </w:rPr>
        <w:t xml:space="preserve"> </w:t>
      </w:r>
      <w:r w:rsidRPr="00B650C6">
        <w:rPr>
          <w:rFonts w:ascii="Century" w:hAnsi="Century" w:cs="Miriam" w:hint="eastAsia"/>
          <w:b/>
          <w:spacing w:val="0"/>
          <w:sz w:val="22"/>
          <w:szCs w:val="24"/>
          <w:rtl/>
        </w:rPr>
        <w:t>והמשפט</w:t>
      </w:r>
      <w:r>
        <w:rPr>
          <w:rFonts w:hint="cs"/>
          <w:rtl/>
        </w:rPr>
        <w:t>)</w:t>
      </w:r>
      <w:r w:rsidRPr="00F86A84">
        <w:rPr>
          <w:rtl/>
        </w:rPr>
        <w:t xml:space="preserve">, </w:t>
      </w:r>
      <w:r w:rsidRPr="00F86A84">
        <w:rPr>
          <w:rFonts w:hint="eastAsia"/>
          <w:rtl/>
        </w:rPr>
        <w:t>כפי</w:t>
      </w:r>
      <w:r w:rsidRPr="00F86A84">
        <w:rPr>
          <w:rtl/>
        </w:rPr>
        <w:t xml:space="preserve"> </w:t>
      </w:r>
      <w:r w:rsidRPr="00F86A84">
        <w:rPr>
          <w:rFonts w:hint="eastAsia"/>
          <w:rtl/>
        </w:rPr>
        <w:t>שחוקקה</w:t>
      </w:r>
      <w:r w:rsidRPr="00F86A84">
        <w:rPr>
          <w:rtl/>
        </w:rPr>
        <w:t xml:space="preserve"> </w:t>
      </w:r>
      <w:r w:rsidRPr="00F86A84">
        <w:rPr>
          <w:rFonts w:hint="eastAsia"/>
          <w:rtl/>
        </w:rPr>
        <w:t>על</w:t>
      </w:r>
      <w:r w:rsidRPr="00F86A84">
        <w:rPr>
          <w:rtl/>
        </w:rPr>
        <w:t xml:space="preserve"> </w:t>
      </w:r>
      <w:r w:rsidRPr="00F86A84">
        <w:rPr>
          <w:rFonts w:hint="eastAsia"/>
          <w:rtl/>
        </w:rPr>
        <w:t>ידי</w:t>
      </w:r>
      <w:r w:rsidRPr="00F86A84">
        <w:rPr>
          <w:rtl/>
        </w:rPr>
        <w:t xml:space="preserve"> </w:t>
      </w:r>
      <w:r w:rsidRPr="00F86A84">
        <w:rPr>
          <w:rFonts w:hint="eastAsia"/>
          <w:rtl/>
        </w:rPr>
        <w:t>מועצת</w:t>
      </w:r>
      <w:r w:rsidRPr="00F86A84">
        <w:rPr>
          <w:rtl/>
        </w:rPr>
        <w:t xml:space="preserve"> </w:t>
      </w:r>
      <w:r w:rsidRPr="00F86A84">
        <w:rPr>
          <w:rFonts w:hint="eastAsia"/>
          <w:rtl/>
        </w:rPr>
        <w:t>המדינה</w:t>
      </w:r>
      <w:r w:rsidRPr="00F86A84">
        <w:rPr>
          <w:rtl/>
        </w:rPr>
        <w:t xml:space="preserve"> </w:t>
      </w:r>
      <w:r w:rsidRPr="00F86A84">
        <w:rPr>
          <w:rFonts w:hint="eastAsia"/>
          <w:rtl/>
        </w:rPr>
        <w:t>הזמנית</w:t>
      </w:r>
      <w:r w:rsidRPr="00F86A84">
        <w:rPr>
          <w:rtl/>
        </w:rPr>
        <w:t xml:space="preserve"> </w:t>
      </w:r>
      <w:r w:rsidRPr="00F86A84">
        <w:rPr>
          <w:rFonts w:hint="eastAsia"/>
          <w:rtl/>
        </w:rPr>
        <w:t>ב</w:t>
      </w:r>
      <w:r>
        <w:rPr>
          <w:rFonts w:hint="cs"/>
          <w:rtl/>
        </w:rPr>
        <w:t xml:space="preserve">י"ב באייר, תש"ח, 21.5.1948; וכן </w:t>
      </w:r>
      <w:r>
        <w:rPr>
          <w:rtl/>
        </w:rPr>
        <w:t>–</w:t>
      </w:r>
      <w:r>
        <w:rPr>
          <w:rFonts w:hint="cs"/>
          <w:rtl/>
        </w:rPr>
        <w:t xml:space="preserve"> בראש ובראשונה </w:t>
      </w:r>
      <w:r>
        <w:rPr>
          <w:rtl/>
        </w:rPr>
        <w:t>–</w:t>
      </w:r>
      <w:r>
        <w:rPr>
          <w:rFonts w:hint="cs"/>
          <w:rtl/>
        </w:rPr>
        <w:t xml:space="preserve"> </w:t>
      </w:r>
      <w:r w:rsidRPr="006E4D1A">
        <w:rPr>
          <w:rFonts w:ascii="Century" w:hAnsi="Century" w:cs="Miriam" w:hint="cs"/>
          <w:b/>
          <w:spacing w:val="0"/>
          <w:sz w:val="22"/>
          <w:szCs w:val="24"/>
          <w:u w:val="single"/>
          <w:rtl/>
        </w:rPr>
        <w:t>הכרזת העצמאות</w:t>
      </w:r>
      <w:r>
        <w:rPr>
          <w:rFonts w:hint="cs"/>
          <w:rtl/>
        </w:rPr>
        <w:t xml:space="preserve">, אליה הפנו המנשר והפקודה במילים מפורשות, אשר הוכרזה על ידי מועצת העם בה' באייר, תש"ח, 14.5.1948. </w:t>
      </w:r>
    </w:p>
    <w:p w:rsidR="00553FDC" w:rsidRPr="00385C81" w:rsidRDefault="00553FDC" w:rsidP="00553FDC">
      <w:pPr>
        <w:pStyle w:val="Ruller41"/>
      </w:pPr>
    </w:p>
    <w:p w:rsidR="00553FDC" w:rsidRDefault="00553FDC" w:rsidP="00553FDC">
      <w:pPr>
        <w:pStyle w:val="Ruller4"/>
        <w:rPr>
          <w:rtl/>
        </w:rPr>
      </w:pPr>
      <w:r>
        <w:rPr>
          <w:rFonts w:hint="cs"/>
          <w:rtl/>
        </w:rPr>
        <w:t>על משמעותם החוקתית של שלושת אלו אעמוד כעת.</w:t>
      </w:r>
    </w:p>
    <w:p w:rsidR="00553FDC" w:rsidRDefault="00553FDC" w:rsidP="00553FDC">
      <w:pPr>
        <w:pStyle w:val="Ruller41"/>
        <w:rPr>
          <w:rtl/>
        </w:rPr>
      </w:pPr>
    </w:p>
    <w:p w:rsidR="00553FDC" w:rsidRPr="00CC1627" w:rsidRDefault="00553FDC" w:rsidP="00553FDC">
      <w:pPr>
        <w:pStyle w:val="Ruller41"/>
        <w:rPr>
          <w:rFonts w:ascii="Century" w:hAnsi="Century" w:cs="Miriam"/>
          <w:b/>
          <w:spacing w:val="0"/>
          <w:szCs w:val="24"/>
          <w:rtl/>
        </w:rPr>
      </w:pPr>
      <w:r w:rsidRPr="00CC1627">
        <w:rPr>
          <w:rFonts w:ascii="Century" w:hAnsi="Century" w:cs="Miriam" w:hint="cs"/>
          <w:b/>
          <w:spacing w:val="0"/>
          <w:szCs w:val="24"/>
          <w:rtl/>
        </w:rPr>
        <w:t xml:space="preserve">המנשר </w:t>
      </w:r>
    </w:p>
    <w:p w:rsidR="00553FDC" w:rsidRDefault="00553FDC" w:rsidP="00553FDC">
      <w:pPr>
        <w:pStyle w:val="Ruller41"/>
        <w:rPr>
          <w:rtl/>
        </w:rPr>
      </w:pPr>
    </w:p>
    <w:p w:rsidR="00553FDC" w:rsidRDefault="00553FDC" w:rsidP="00553FDC">
      <w:pPr>
        <w:pStyle w:val="Ruller4"/>
        <w:rPr>
          <w:rtl/>
        </w:rPr>
      </w:pPr>
      <w:r>
        <w:rPr>
          <w:rFonts w:hint="cs"/>
          <w:rtl/>
        </w:rPr>
        <w:t>המנשר, שכאמור פורסם ביום 14.5.1948, קבע את הדברים הבאים:</w:t>
      </w:r>
    </w:p>
    <w:p w:rsidR="00553FDC" w:rsidRDefault="00553FDC" w:rsidP="00553FDC">
      <w:pPr>
        <w:pStyle w:val="Ruller41"/>
        <w:rPr>
          <w:rtl/>
        </w:rPr>
      </w:pPr>
    </w:p>
    <w:p w:rsidR="00553FDC" w:rsidRDefault="00553FDC" w:rsidP="00553FDC">
      <w:pPr>
        <w:pStyle w:val="Ruller5"/>
        <w:rPr>
          <w:rtl/>
        </w:rPr>
      </w:pPr>
      <w:r>
        <w:rPr>
          <w:rFonts w:hint="cs"/>
          <w:rtl/>
        </w:rPr>
        <w:t>"</w:t>
      </w:r>
      <w:r w:rsidRPr="00120DBD">
        <w:rPr>
          <w:rFonts w:ascii="Century" w:hAnsi="Century" w:cs="Miriam" w:hint="eastAsia"/>
          <w:b/>
          <w:spacing w:val="0"/>
          <w:szCs w:val="24"/>
          <w:u w:val="single"/>
          <w:rtl/>
        </w:rPr>
        <w:t>בת</w:t>
      </w:r>
      <w:r w:rsidRPr="00120DBD">
        <w:rPr>
          <w:rFonts w:ascii="Century" w:hAnsi="Century" w:cs="Miriam" w:hint="cs"/>
          <w:b/>
          <w:spacing w:val="0"/>
          <w:szCs w:val="24"/>
          <w:u w:val="single"/>
          <w:rtl/>
        </w:rPr>
        <w:t>ו</w:t>
      </w:r>
      <w:r w:rsidRPr="00120DBD">
        <w:rPr>
          <w:rFonts w:ascii="Century" w:hAnsi="Century" w:cs="Miriam" w:hint="eastAsia"/>
          <w:b/>
          <w:spacing w:val="0"/>
          <w:szCs w:val="24"/>
          <w:u w:val="single"/>
          <w:rtl/>
        </w:rPr>
        <w:t>קף</w:t>
      </w:r>
      <w:r w:rsidRPr="00120DBD">
        <w:rPr>
          <w:rFonts w:ascii="Century" w:hAnsi="Century" w:cs="Miriam"/>
          <w:b/>
          <w:spacing w:val="0"/>
          <w:szCs w:val="24"/>
          <w:u w:val="single"/>
          <w:rtl/>
        </w:rPr>
        <w:t xml:space="preserve"> </w:t>
      </w:r>
      <w:r w:rsidRPr="00120DBD">
        <w:rPr>
          <w:rFonts w:ascii="Century" w:hAnsi="Century" w:cs="Miriam" w:hint="eastAsia"/>
          <w:b/>
          <w:spacing w:val="0"/>
          <w:szCs w:val="24"/>
          <w:u w:val="single"/>
          <w:rtl/>
        </w:rPr>
        <w:t>הכרזת</w:t>
      </w:r>
      <w:r w:rsidRPr="00120DBD">
        <w:rPr>
          <w:rFonts w:ascii="Century" w:hAnsi="Century" w:cs="Miriam"/>
          <w:b/>
          <w:spacing w:val="0"/>
          <w:szCs w:val="24"/>
          <w:u w:val="single"/>
          <w:rtl/>
        </w:rPr>
        <w:t xml:space="preserve"> </w:t>
      </w:r>
      <w:r w:rsidRPr="00120DBD">
        <w:rPr>
          <w:rFonts w:ascii="Century" w:hAnsi="Century" w:cs="Miriam" w:hint="eastAsia"/>
          <w:b/>
          <w:spacing w:val="0"/>
          <w:szCs w:val="24"/>
          <w:u w:val="single"/>
          <w:rtl/>
        </w:rPr>
        <w:t>העצמאות</w:t>
      </w:r>
      <w:r>
        <w:rPr>
          <w:rtl/>
        </w:rPr>
        <w:t xml:space="preserve">, </w:t>
      </w:r>
      <w:r>
        <w:rPr>
          <w:rFonts w:hint="eastAsia"/>
          <w:rtl/>
        </w:rPr>
        <w:t>שנתפרסמה</w:t>
      </w:r>
      <w:r>
        <w:rPr>
          <w:rtl/>
        </w:rPr>
        <w:t xml:space="preserve"> </w:t>
      </w:r>
      <w:r>
        <w:rPr>
          <w:rFonts w:hint="eastAsia"/>
          <w:rtl/>
        </w:rPr>
        <w:t>היום</w:t>
      </w:r>
      <w:r>
        <w:rPr>
          <w:rtl/>
        </w:rPr>
        <w:t xml:space="preserve">, </w:t>
      </w:r>
      <w:r>
        <w:rPr>
          <w:rFonts w:hint="eastAsia"/>
          <w:rtl/>
        </w:rPr>
        <w:t>יום</w:t>
      </w:r>
      <w:r>
        <w:rPr>
          <w:rtl/>
        </w:rPr>
        <w:t xml:space="preserve"> </w:t>
      </w:r>
      <w:r>
        <w:rPr>
          <w:rFonts w:hint="eastAsia"/>
          <w:rtl/>
        </w:rPr>
        <w:t>ה׳</w:t>
      </w:r>
      <w:r>
        <w:rPr>
          <w:rtl/>
        </w:rPr>
        <w:t xml:space="preserve"> </w:t>
      </w:r>
      <w:r>
        <w:rPr>
          <w:rFonts w:hint="eastAsia"/>
          <w:rtl/>
        </w:rPr>
        <w:t>באייר</w:t>
      </w:r>
      <w:r>
        <w:rPr>
          <w:rtl/>
        </w:rPr>
        <w:t xml:space="preserve"> </w:t>
      </w:r>
      <w:r>
        <w:rPr>
          <w:rFonts w:hint="eastAsia"/>
          <w:rtl/>
        </w:rPr>
        <w:t>תש״ח</w:t>
      </w:r>
      <w:r>
        <w:rPr>
          <w:rtl/>
        </w:rPr>
        <w:t xml:space="preserve"> (14 </w:t>
      </w:r>
      <w:r>
        <w:rPr>
          <w:rFonts w:hint="eastAsia"/>
          <w:rtl/>
        </w:rPr>
        <w:t>במאי</w:t>
      </w:r>
      <w:r>
        <w:rPr>
          <w:rtl/>
        </w:rPr>
        <w:t xml:space="preserve"> 1948), </w:t>
      </w:r>
      <w:r w:rsidRPr="006C2EBF">
        <w:rPr>
          <w:rFonts w:ascii="Century" w:hAnsi="Century" w:cs="Miriam" w:hint="eastAsia"/>
          <w:b/>
          <w:spacing w:val="0"/>
          <w:szCs w:val="24"/>
          <w:rtl/>
        </w:rPr>
        <w:t>ואשר</w:t>
      </w:r>
      <w:r w:rsidRPr="006C2EBF">
        <w:rPr>
          <w:rFonts w:ascii="Century" w:hAnsi="Century" w:cs="Miriam"/>
          <w:b/>
          <w:spacing w:val="0"/>
          <w:szCs w:val="24"/>
          <w:rtl/>
        </w:rPr>
        <w:t xml:space="preserve"> </w:t>
      </w:r>
      <w:r w:rsidRPr="006C2EBF">
        <w:rPr>
          <w:rFonts w:ascii="Century" w:hAnsi="Century" w:cs="Miriam" w:hint="eastAsia"/>
          <w:b/>
          <w:spacing w:val="0"/>
          <w:szCs w:val="24"/>
          <w:rtl/>
        </w:rPr>
        <w:t>לפיה</w:t>
      </w:r>
      <w:r w:rsidRPr="006C2EBF">
        <w:rPr>
          <w:rFonts w:ascii="Century" w:hAnsi="Century" w:cs="Miriam"/>
          <w:b/>
          <w:spacing w:val="0"/>
          <w:szCs w:val="24"/>
          <w:rtl/>
        </w:rPr>
        <w:t xml:space="preserve"> </w:t>
      </w:r>
      <w:r w:rsidRPr="006C2EBF">
        <w:rPr>
          <w:rFonts w:ascii="Century" w:hAnsi="Century" w:cs="Miriam" w:hint="eastAsia"/>
          <w:b/>
          <w:spacing w:val="0"/>
          <w:szCs w:val="24"/>
          <w:rtl/>
        </w:rPr>
        <w:t>הוקמו</w:t>
      </w:r>
      <w:r w:rsidRPr="006C2EBF">
        <w:rPr>
          <w:rFonts w:ascii="Century" w:hAnsi="Century" w:cs="Miriam"/>
          <w:b/>
          <w:spacing w:val="0"/>
          <w:szCs w:val="24"/>
          <w:rtl/>
        </w:rPr>
        <w:t xml:space="preserve"> </w:t>
      </w:r>
      <w:r w:rsidRPr="006C2EBF">
        <w:rPr>
          <w:rFonts w:ascii="Century" w:hAnsi="Century" w:cs="Miriam" w:hint="eastAsia"/>
          <w:b/>
          <w:spacing w:val="0"/>
          <w:szCs w:val="24"/>
          <w:rtl/>
        </w:rPr>
        <w:t>מועצת</w:t>
      </w:r>
      <w:r w:rsidRPr="006C2EBF">
        <w:rPr>
          <w:rFonts w:ascii="Century" w:hAnsi="Century" w:cs="Miriam"/>
          <w:b/>
          <w:spacing w:val="0"/>
          <w:szCs w:val="24"/>
          <w:rtl/>
        </w:rPr>
        <w:t xml:space="preserve"> </w:t>
      </w:r>
      <w:r w:rsidRPr="006C2EBF">
        <w:rPr>
          <w:rFonts w:ascii="Century" w:hAnsi="Century" w:cs="Miriam" w:hint="eastAsia"/>
          <w:b/>
          <w:spacing w:val="0"/>
          <w:szCs w:val="24"/>
          <w:rtl/>
        </w:rPr>
        <w:t>המדינה</w:t>
      </w:r>
      <w:r w:rsidRPr="006C2EBF">
        <w:rPr>
          <w:rFonts w:ascii="Century" w:hAnsi="Century" w:cs="Miriam"/>
          <w:b/>
          <w:spacing w:val="0"/>
          <w:szCs w:val="24"/>
          <w:rtl/>
        </w:rPr>
        <w:t xml:space="preserve"> </w:t>
      </w:r>
      <w:r w:rsidRPr="006C2EBF">
        <w:rPr>
          <w:rFonts w:ascii="Century" w:hAnsi="Century" w:cs="Miriam" w:hint="eastAsia"/>
          <w:b/>
          <w:spacing w:val="0"/>
          <w:szCs w:val="24"/>
          <w:rtl/>
        </w:rPr>
        <w:t>הזמנית</w:t>
      </w:r>
      <w:r>
        <w:rPr>
          <w:rtl/>
        </w:rPr>
        <w:t xml:space="preserve"> </w:t>
      </w:r>
      <w:r>
        <w:rPr>
          <w:rFonts w:hint="eastAsia"/>
          <w:rtl/>
        </w:rPr>
        <w:t>והממשלה</w:t>
      </w:r>
      <w:r>
        <w:rPr>
          <w:rtl/>
        </w:rPr>
        <w:t xml:space="preserve"> </w:t>
      </w:r>
      <w:r>
        <w:rPr>
          <w:rFonts w:hint="eastAsia"/>
          <w:rtl/>
        </w:rPr>
        <w:t>הזמנית</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מכריזה</w:t>
      </w:r>
      <w:r>
        <w:rPr>
          <w:rtl/>
        </w:rPr>
        <w:t xml:space="preserve"> </w:t>
      </w:r>
      <w:r>
        <w:rPr>
          <w:rFonts w:hint="eastAsia"/>
          <w:rtl/>
        </w:rPr>
        <w:t>בזה</w:t>
      </w:r>
      <w:r>
        <w:rPr>
          <w:rtl/>
        </w:rPr>
        <w:t xml:space="preserve"> </w:t>
      </w:r>
      <w:r>
        <w:rPr>
          <w:rFonts w:hint="eastAsia"/>
          <w:rtl/>
        </w:rPr>
        <w:t>מועצת</w:t>
      </w:r>
      <w:r>
        <w:rPr>
          <w:rtl/>
        </w:rPr>
        <w:t xml:space="preserve"> </w:t>
      </w:r>
      <w:r>
        <w:rPr>
          <w:rFonts w:hint="eastAsia"/>
          <w:rtl/>
        </w:rPr>
        <w:t>המדינה</w:t>
      </w:r>
      <w:r>
        <w:rPr>
          <w:rtl/>
        </w:rPr>
        <w:t xml:space="preserve"> </w:t>
      </w:r>
      <w:r>
        <w:rPr>
          <w:rFonts w:hint="eastAsia"/>
          <w:rtl/>
        </w:rPr>
        <w:t>הזמנית</w:t>
      </w:r>
      <w:r>
        <w:rPr>
          <w:rtl/>
        </w:rPr>
        <w:t xml:space="preserve"> </w:t>
      </w:r>
      <w:r>
        <w:rPr>
          <w:rFonts w:hint="eastAsia"/>
          <w:rtl/>
        </w:rPr>
        <w:t>לאמור</w:t>
      </w:r>
      <w:r>
        <w:rPr>
          <w:rtl/>
        </w:rPr>
        <w:t>:</w:t>
      </w:r>
      <w:r>
        <w:rPr>
          <w:rFonts w:hint="cs"/>
          <w:rtl/>
        </w:rPr>
        <w:t xml:space="preserve"> 1. </w:t>
      </w:r>
      <w:r>
        <w:rPr>
          <w:rFonts w:hint="eastAsia"/>
          <w:rtl/>
        </w:rPr>
        <w:t>מועצת</w:t>
      </w:r>
      <w:r>
        <w:rPr>
          <w:rtl/>
        </w:rPr>
        <w:t xml:space="preserve"> </w:t>
      </w:r>
      <w:r>
        <w:rPr>
          <w:rFonts w:hint="eastAsia"/>
          <w:rtl/>
        </w:rPr>
        <w:t>המדינה</w:t>
      </w:r>
      <w:r>
        <w:rPr>
          <w:rtl/>
        </w:rPr>
        <w:t xml:space="preserve"> </w:t>
      </w:r>
      <w:r>
        <w:rPr>
          <w:rFonts w:hint="eastAsia"/>
          <w:rtl/>
        </w:rPr>
        <w:t>הזמנית</w:t>
      </w:r>
      <w:r>
        <w:rPr>
          <w:rtl/>
        </w:rPr>
        <w:t xml:space="preserve"> </w:t>
      </w:r>
      <w:r>
        <w:rPr>
          <w:rFonts w:hint="eastAsia"/>
          <w:rtl/>
        </w:rPr>
        <w:t>היא</w:t>
      </w:r>
      <w:r>
        <w:rPr>
          <w:rtl/>
        </w:rPr>
        <w:t xml:space="preserve"> </w:t>
      </w:r>
      <w:r>
        <w:rPr>
          <w:rFonts w:hint="eastAsia"/>
          <w:rtl/>
        </w:rPr>
        <w:t>הרשות</w:t>
      </w:r>
      <w:r>
        <w:rPr>
          <w:rtl/>
        </w:rPr>
        <w:t xml:space="preserve"> </w:t>
      </w:r>
      <w:r>
        <w:rPr>
          <w:rFonts w:hint="eastAsia"/>
          <w:rtl/>
        </w:rPr>
        <w:t>המחוקקת</w:t>
      </w:r>
      <w:r>
        <w:rPr>
          <w:rtl/>
        </w:rPr>
        <w:t>.</w:t>
      </w:r>
      <w:r>
        <w:rPr>
          <w:rFonts w:hint="cs"/>
          <w:rtl/>
        </w:rPr>
        <w:t xml:space="preserve"> </w:t>
      </w:r>
      <w:r>
        <w:rPr>
          <w:rFonts w:hint="eastAsia"/>
          <w:rtl/>
        </w:rPr>
        <w:t>מועצת</w:t>
      </w:r>
      <w:r>
        <w:rPr>
          <w:rtl/>
        </w:rPr>
        <w:t xml:space="preserve"> </w:t>
      </w:r>
      <w:r>
        <w:rPr>
          <w:rFonts w:hint="eastAsia"/>
          <w:rtl/>
        </w:rPr>
        <w:t>המדינה</w:t>
      </w:r>
      <w:r>
        <w:rPr>
          <w:rtl/>
        </w:rPr>
        <w:t xml:space="preserve"> </w:t>
      </w:r>
      <w:r>
        <w:rPr>
          <w:rFonts w:hint="eastAsia"/>
          <w:rtl/>
        </w:rPr>
        <w:t>הזמנית</w:t>
      </w:r>
      <w:r>
        <w:rPr>
          <w:rtl/>
        </w:rPr>
        <w:t xml:space="preserve"> </w:t>
      </w:r>
      <w:r>
        <w:rPr>
          <w:rFonts w:hint="eastAsia"/>
          <w:rtl/>
        </w:rPr>
        <w:t>זכאית</w:t>
      </w:r>
      <w:r>
        <w:rPr>
          <w:rtl/>
        </w:rPr>
        <w:t xml:space="preserve"> </w:t>
      </w:r>
      <w:r>
        <w:rPr>
          <w:rFonts w:hint="eastAsia"/>
          <w:rtl/>
        </w:rPr>
        <w:t>להעניק</w:t>
      </w:r>
      <w:r>
        <w:rPr>
          <w:rtl/>
        </w:rPr>
        <w:t xml:space="preserve"> </w:t>
      </w:r>
      <w:r>
        <w:rPr>
          <w:rFonts w:hint="eastAsia"/>
          <w:rtl/>
        </w:rPr>
        <w:t>מסמכות</w:t>
      </w:r>
      <w:r>
        <w:rPr>
          <w:rtl/>
        </w:rPr>
        <w:t xml:space="preserve"> </w:t>
      </w:r>
      <w:r>
        <w:rPr>
          <w:rFonts w:hint="eastAsia"/>
          <w:rtl/>
        </w:rPr>
        <w:t>זו</w:t>
      </w:r>
      <w:r>
        <w:rPr>
          <w:rtl/>
        </w:rPr>
        <w:t xml:space="preserve"> </w:t>
      </w:r>
      <w:r>
        <w:rPr>
          <w:rFonts w:hint="eastAsia"/>
          <w:rtl/>
        </w:rPr>
        <w:t>לממשלה</w:t>
      </w:r>
      <w:r>
        <w:rPr>
          <w:rtl/>
        </w:rPr>
        <w:t xml:space="preserve"> </w:t>
      </w:r>
      <w:r>
        <w:rPr>
          <w:rFonts w:hint="eastAsia"/>
          <w:rtl/>
        </w:rPr>
        <w:t>הזמנית</w:t>
      </w:r>
      <w:r>
        <w:rPr>
          <w:rtl/>
        </w:rPr>
        <w:t xml:space="preserve"> </w:t>
      </w:r>
      <w:r>
        <w:rPr>
          <w:rFonts w:hint="eastAsia"/>
          <w:rtl/>
        </w:rPr>
        <w:t>לשם</w:t>
      </w:r>
      <w:r>
        <w:rPr>
          <w:rtl/>
        </w:rPr>
        <w:t xml:space="preserve"> </w:t>
      </w:r>
      <w:r>
        <w:rPr>
          <w:rFonts w:hint="eastAsia"/>
          <w:rtl/>
        </w:rPr>
        <w:t>חקיקה</w:t>
      </w:r>
      <w:r>
        <w:rPr>
          <w:rtl/>
        </w:rPr>
        <w:t xml:space="preserve"> </w:t>
      </w:r>
      <w:r>
        <w:rPr>
          <w:rFonts w:hint="eastAsia"/>
          <w:rtl/>
        </w:rPr>
        <w:t>דחופה</w:t>
      </w:r>
      <w:r>
        <w:rPr>
          <w:rFonts w:hint="cs"/>
          <w:rtl/>
        </w:rPr>
        <w:t xml:space="preserve">" (ההדגשה הוספה </w:t>
      </w:r>
      <w:r>
        <w:rPr>
          <w:rtl/>
        </w:rPr>
        <w:t>–</w:t>
      </w:r>
      <w:r>
        <w:rPr>
          <w:rFonts w:hint="cs"/>
          <w:rtl/>
        </w:rPr>
        <w:t xml:space="preserve"> א.ש.).</w:t>
      </w:r>
    </w:p>
    <w:p w:rsidR="00553FDC" w:rsidRDefault="00553FDC" w:rsidP="00553FDC">
      <w:pPr>
        <w:pStyle w:val="Ruller41"/>
        <w:rPr>
          <w:rtl/>
        </w:rPr>
      </w:pPr>
      <w:r>
        <w:rPr>
          <w:rtl/>
        </w:rPr>
        <w:tab/>
      </w:r>
    </w:p>
    <w:p w:rsidR="00553FDC" w:rsidRDefault="00553FDC" w:rsidP="00553FDC">
      <w:pPr>
        <w:pStyle w:val="Ruller41"/>
        <w:rPr>
          <w:rtl/>
        </w:rPr>
      </w:pPr>
      <w:r>
        <w:rPr>
          <w:rtl/>
        </w:rPr>
        <w:tab/>
      </w:r>
      <w:r>
        <w:rPr>
          <w:rFonts w:hint="cs"/>
          <w:rtl/>
        </w:rPr>
        <w:t>מפאת חשיבותו של מסמך היסטורי זה, ראיתי לנכון להביאו כאן, כפי שהודפס והופץ בשעתו:</w:t>
      </w:r>
    </w:p>
    <w:p w:rsidR="00553FDC" w:rsidRDefault="00553FDC" w:rsidP="00553FDC">
      <w:pPr>
        <w:pStyle w:val="Ruller41"/>
        <w:rPr>
          <w:rtl/>
        </w:rPr>
      </w:pPr>
    </w:p>
    <w:p w:rsidR="00553FDC" w:rsidRDefault="00553FDC" w:rsidP="00553FDC">
      <w:pPr>
        <w:pStyle w:val="Ruller41"/>
        <w:jc w:val="center"/>
        <w:rPr>
          <w:rtl/>
        </w:rPr>
      </w:pPr>
      <w:r>
        <w:rPr>
          <w:noProof/>
          <w:rtl/>
        </w:rPr>
        <w:drawing>
          <wp:inline distT="0" distB="0" distL="0" distR="0" wp14:anchorId="4C4842DB" wp14:editId="0B39979D">
            <wp:extent cx="2825750" cy="3633787"/>
            <wp:effectExtent l="0" t="0" r="0" b="508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מנשר.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6218" cy="3672967"/>
                    </a:xfrm>
                    <a:prstGeom prst="rect">
                      <a:avLst/>
                    </a:prstGeom>
                  </pic:spPr>
                </pic:pic>
              </a:graphicData>
            </a:graphic>
          </wp:inline>
        </w:drawing>
      </w:r>
    </w:p>
    <w:p w:rsidR="00553FDC" w:rsidRDefault="00553FDC" w:rsidP="00553FDC">
      <w:pPr>
        <w:pStyle w:val="Ruller41"/>
        <w:rPr>
          <w:rtl/>
        </w:rPr>
      </w:pPr>
    </w:p>
    <w:p w:rsidR="00553FDC" w:rsidRDefault="00553FDC" w:rsidP="00553FDC">
      <w:pPr>
        <w:pStyle w:val="Ruller4"/>
        <w:rPr>
          <w:rtl/>
        </w:rPr>
      </w:pPr>
      <w:r>
        <w:rPr>
          <w:rFonts w:hint="cs"/>
          <w:rtl/>
        </w:rPr>
        <w:t xml:space="preserve">כפי שניתן לראות, המנשר מציין במפורש את העובדה שמועצת המדינה הזמנית קיבלה את סמכויותיה מהכרזת העצמאות, וכי אין לה מקור אחר ממנו ניתן לשאוב את הסמכות הבסיסית לחוקק חוקים. </w:t>
      </w:r>
      <w:r w:rsidRPr="00FE1D1F">
        <w:rPr>
          <w:rFonts w:ascii="Century" w:hAnsi="Century" w:cs="Miriam" w:hint="cs"/>
          <w:b/>
          <w:spacing w:val="0"/>
          <w:sz w:val="22"/>
          <w:szCs w:val="24"/>
          <w:rtl/>
        </w:rPr>
        <w:t>הווה אומר: מועצת המדינה הזמנית, וכל כנסת שנכנסה לנעליה במרוצת השנים, לא קיבלה לידיה סמכויות אשר עולות על אל</w:t>
      </w:r>
      <w:r>
        <w:rPr>
          <w:rFonts w:ascii="Century" w:hAnsi="Century" w:cs="Miriam" w:hint="cs"/>
          <w:b/>
          <w:spacing w:val="0"/>
          <w:sz w:val="22"/>
          <w:szCs w:val="24"/>
          <w:rtl/>
        </w:rPr>
        <w:t>ו</w:t>
      </w:r>
      <w:r w:rsidRPr="00FE1D1F">
        <w:rPr>
          <w:rFonts w:ascii="Century" w:hAnsi="Century" w:cs="Miriam" w:hint="cs"/>
          <w:b/>
          <w:spacing w:val="0"/>
          <w:sz w:val="22"/>
          <w:szCs w:val="24"/>
          <w:rtl/>
        </w:rPr>
        <w:t xml:space="preserve"> שבהכרזת העצמאות.</w:t>
      </w:r>
    </w:p>
    <w:p w:rsidR="00553FDC" w:rsidRDefault="00553FDC" w:rsidP="00553FDC">
      <w:pPr>
        <w:pStyle w:val="Ruller41"/>
        <w:rPr>
          <w:rFonts w:ascii="Century" w:hAnsi="Century" w:cs="Miriam"/>
          <w:b/>
          <w:spacing w:val="0"/>
          <w:szCs w:val="24"/>
          <w:rtl/>
        </w:rPr>
      </w:pPr>
    </w:p>
    <w:p w:rsidR="00553FDC" w:rsidRDefault="00553FDC" w:rsidP="00553FDC">
      <w:pPr>
        <w:pStyle w:val="Ruller41"/>
        <w:rPr>
          <w:rFonts w:ascii="Century" w:hAnsi="Century" w:cs="Miriam"/>
          <w:b/>
          <w:spacing w:val="0"/>
          <w:szCs w:val="24"/>
          <w:rtl/>
        </w:rPr>
      </w:pPr>
    </w:p>
    <w:p w:rsidR="00553FDC" w:rsidRDefault="00553FDC" w:rsidP="00553FDC">
      <w:pPr>
        <w:pStyle w:val="Ruller41"/>
        <w:rPr>
          <w:rFonts w:ascii="Century" w:hAnsi="Century" w:cs="Miriam"/>
          <w:b/>
          <w:spacing w:val="0"/>
          <w:szCs w:val="24"/>
          <w:rtl/>
        </w:rPr>
      </w:pPr>
      <w:r w:rsidRPr="00CC1627">
        <w:rPr>
          <w:rFonts w:ascii="Century" w:hAnsi="Century" w:cs="Miriam" w:hint="cs"/>
          <w:b/>
          <w:spacing w:val="0"/>
          <w:szCs w:val="24"/>
          <w:rtl/>
        </w:rPr>
        <w:t xml:space="preserve">פקודת </w:t>
      </w:r>
      <w:r>
        <w:rPr>
          <w:rFonts w:ascii="Century" w:hAnsi="Century" w:cs="Miriam" w:hint="cs"/>
          <w:b/>
          <w:spacing w:val="0"/>
          <w:szCs w:val="24"/>
          <w:rtl/>
        </w:rPr>
        <w:t>סדרי השלטון והמשפט</w:t>
      </w:r>
    </w:p>
    <w:p w:rsidR="00553FDC" w:rsidRPr="00CC1627" w:rsidRDefault="00553FDC" w:rsidP="00553FDC">
      <w:pPr>
        <w:pStyle w:val="Ruller41"/>
        <w:rPr>
          <w:rFonts w:ascii="Century" w:hAnsi="Century" w:cs="Miriam"/>
          <w:b/>
          <w:spacing w:val="0"/>
          <w:szCs w:val="24"/>
          <w:rtl/>
        </w:rPr>
      </w:pPr>
    </w:p>
    <w:p w:rsidR="00553FDC" w:rsidRDefault="00553FDC" w:rsidP="00553FDC">
      <w:pPr>
        <w:pStyle w:val="Ruller4"/>
        <w:rPr>
          <w:rtl/>
        </w:rPr>
      </w:pPr>
      <w:r>
        <w:rPr>
          <w:rFonts w:hint="cs"/>
          <w:rtl/>
        </w:rPr>
        <w:t>פקודה זו הקימה את מוסדות השלטון במדינת ישראל והגדירה את סמכויותיהם. במבוא לפקודה נאמר מפורשות כך:</w:t>
      </w:r>
    </w:p>
    <w:p w:rsidR="00553FDC" w:rsidRDefault="00553FDC" w:rsidP="00553FDC">
      <w:pPr>
        <w:pStyle w:val="Ruller41"/>
        <w:rPr>
          <w:rtl/>
        </w:rPr>
      </w:pPr>
    </w:p>
    <w:p w:rsidR="00553FDC" w:rsidRDefault="00553FDC" w:rsidP="00553FDC">
      <w:pPr>
        <w:pStyle w:val="Ruller5"/>
        <w:rPr>
          <w:rtl/>
        </w:rPr>
      </w:pPr>
      <w:r>
        <w:rPr>
          <w:rFonts w:hint="cs"/>
          <w:rtl/>
        </w:rPr>
        <w:t>"</w:t>
      </w:r>
      <w:r w:rsidRPr="00904F72">
        <w:rPr>
          <w:rFonts w:ascii="Century" w:hAnsi="Century" w:cs="Miriam" w:hint="cs"/>
          <w:b/>
          <w:spacing w:val="0"/>
          <w:szCs w:val="24"/>
          <w:rtl/>
        </w:rPr>
        <w:t xml:space="preserve">בתוקף הסמכות שנקבעה למועצת המדינה הזמנית </w:t>
      </w:r>
      <w:r w:rsidRPr="00FE1D1F">
        <w:rPr>
          <w:rFonts w:ascii="Century" w:hAnsi="Century" w:cs="Miriam" w:hint="cs"/>
          <w:b/>
          <w:spacing w:val="0"/>
          <w:szCs w:val="24"/>
          <w:u w:val="single"/>
          <w:rtl/>
        </w:rPr>
        <w:t>בהכרזה על הקמת מדינת ישראל</w:t>
      </w:r>
      <w:r>
        <w:rPr>
          <w:rFonts w:hint="cs"/>
          <w:rtl/>
        </w:rPr>
        <w:t xml:space="preserve"> מיום ה' באייר תש"ח (14 במאי 1948) </w:t>
      </w:r>
      <w:r w:rsidRPr="00904F72">
        <w:rPr>
          <w:rFonts w:ascii="Century" w:hAnsi="Century" w:cs="Miriam" w:hint="cs"/>
          <w:b/>
          <w:spacing w:val="0"/>
          <w:szCs w:val="24"/>
          <w:rtl/>
        </w:rPr>
        <w:t>ובמנשר</w:t>
      </w:r>
      <w:r>
        <w:rPr>
          <w:rFonts w:hint="cs"/>
          <w:rtl/>
        </w:rPr>
        <w:t xml:space="preserve"> מאותו יום, מחוקקת בזאת מועצת המדינה הזמנית לאמור: [...]" (ההדגשה הוספה </w:t>
      </w:r>
      <w:r>
        <w:rPr>
          <w:rtl/>
        </w:rPr>
        <w:t>–</w:t>
      </w:r>
      <w:r>
        <w:rPr>
          <w:rFonts w:hint="cs"/>
          <w:rtl/>
        </w:rPr>
        <w:t xml:space="preserve"> א.ש.). </w:t>
      </w:r>
    </w:p>
    <w:p w:rsidR="00553FDC" w:rsidRDefault="00553FDC" w:rsidP="00553FDC">
      <w:pPr>
        <w:pStyle w:val="Ruller41"/>
        <w:rPr>
          <w:rtl/>
        </w:rPr>
      </w:pPr>
      <w:r>
        <w:rPr>
          <w:rtl/>
        </w:rPr>
        <w:tab/>
      </w:r>
    </w:p>
    <w:p w:rsidR="00553FDC" w:rsidRDefault="00553FDC" w:rsidP="00553FDC">
      <w:pPr>
        <w:pStyle w:val="Ruller41"/>
        <w:rPr>
          <w:rtl/>
        </w:rPr>
      </w:pPr>
      <w:r>
        <w:rPr>
          <w:rtl/>
        </w:rPr>
        <w:tab/>
      </w:r>
      <w:r>
        <w:rPr>
          <w:rFonts w:hint="cs"/>
          <w:rtl/>
        </w:rPr>
        <w:t>מפאת חשיבותו של מסמך היסטורי זה, ראיתי לנכון להביאו כאן, כפי שפורסם:</w:t>
      </w:r>
    </w:p>
    <w:p w:rsidR="00553FDC" w:rsidRDefault="00553FDC" w:rsidP="00553FDC">
      <w:pPr>
        <w:pStyle w:val="Ruller41"/>
        <w:rPr>
          <w:rtl/>
        </w:rPr>
      </w:pPr>
    </w:p>
    <w:p w:rsidR="00553FDC" w:rsidRDefault="00553FDC" w:rsidP="00553FDC">
      <w:pPr>
        <w:pStyle w:val="Ruller41"/>
        <w:jc w:val="center"/>
        <w:rPr>
          <w:rtl/>
        </w:rPr>
      </w:pPr>
      <w:r>
        <w:rPr>
          <w:noProof/>
          <w:rtl/>
        </w:rPr>
        <w:lastRenderedPageBreak/>
        <w:drawing>
          <wp:inline distT="0" distB="0" distL="0" distR="0" wp14:anchorId="3B7A2386" wp14:editId="57B19C14">
            <wp:extent cx="3814445" cy="3605212"/>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3-08-08 at 8.56.4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22144" cy="3612489"/>
                    </a:xfrm>
                    <a:prstGeom prst="rect">
                      <a:avLst/>
                    </a:prstGeom>
                  </pic:spPr>
                </pic:pic>
              </a:graphicData>
            </a:graphic>
          </wp:inline>
        </w:drawing>
      </w:r>
    </w:p>
    <w:p w:rsidR="00553FDC" w:rsidRDefault="00553FDC" w:rsidP="00553FDC">
      <w:pPr>
        <w:pStyle w:val="Ruller41"/>
        <w:rPr>
          <w:rtl/>
        </w:rPr>
      </w:pPr>
    </w:p>
    <w:p w:rsidR="00553FDC" w:rsidRPr="008E683C" w:rsidRDefault="00553FDC" w:rsidP="00553FDC">
      <w:pPr>
        <w:pStyle w:val="Ruller4"/>
      </w:pPr>
      <w:r>
        <w:rPr>
          <w:rFonts w:hint="cs"/>
          <w:rtl/>
        </w:rPr>
        <w:t xml:space="preserve">האמור במנשר ובפקודת סדרי השלטון והמשפט אינו משאיר מקום לספקות באשר למקור הסמכתה של הכנסת לחוקק חוקים בעבור מדינת ישראל ותושביה. מסמכי הקמה אלה קובעים במפורש כי מועצת המדינה הזמנית וכל בית מחוקקים שמתמנה אחריה, יהיו מוסמכים לחוקק חוקים </w:t>
      </w:r>
      <w:r w:rsidRPr="005B2227">
        <w:rPr>
          <w:rFonts w:ascii="Century" w:hAnsi="Century" w:cs="Miriam" w:hint="cs"/>
          <w:b/>
          <w:spacing w:val="0"/>
          <w:sz w:val="22"/>
          <w:szCs w:val="24"/>
          <w:rtl/>
        </w:rPr>
        <w:t>בתוקף הסמכות שנקבעה בהכרזת העצמאות</w:t>
      </w:r>
      <w:r w:rsidRPr="005B2227">
        <w:rPr>
          <w:rFonts w:ascii="Century" w:hAnsi="Century" w:hint="cs"/>
          <w:sz w:val="22"/>
          <w:rtl/>
        </w:rPr>
        <w:t>.</w:t>
      </w:r>
      <w:r>
        <w:rPr>
          <w:rFonts w:hint="cs"/>
          <w:rtl/>
        </w:rPr>
        <w:t xml:space="preserve"> </w:t>
      </w:r>
    </w:p>
    <w:p w:rsidR="00553FDC" w:rsidRPr="008E683C" w:rsidRDefault="00553FDC" w:rsidP="00553FDC">
      <w:pPr>
        <w:pStyle w:val="Ruller4"/>
        <w:numPr>
          <w:ilvl w:val="0"/>
          <w:numId w:val="0"/>
        </w:numPr>
      </w:pPr>
    </w:p>
    <w:p w:rsidR="00553FDC" w:rsidRDefault="00553FDC" w:rsidP="00553FDC">
      <w:pPr>
        <w:pStyle w:val="Ruller4"/>
      </w:pPr>
      <w:r w:rsidRPr="00060670">
        <w:rPr>
          <w:rFonts w:ascii="Century" w:hAnsi="Century" w:cs="Miriam" w:hint="cs"/>
          <w:b/>
          <w:spacing w:val="0"/>
          <w:sz w:val="22"/>
          <w:szCs w:val="24"/>
          <w:u w:val="single"/>
          <w:rtl/>
        </w:rPr>
        <w:t xml:space="preserve">הסמכה זו </w:t>
      </w:r>
      <w:r w:rsidRPr="00060670">
        <w:rPr>
          <w:rFonts w:ascii="Century" w:hAnsi="Century" w:cs="Miriam"/>
          <w:b/>
          <w:spacing w:val="0"/>
          <w:sz w:val="22"/>
          <w:szCs w:val="24"/>
          <w:u w:val="single"/>
          <w:rtl/>
        </w:rPr>
        <w:t>–</w:t>
      </w:r>
      <w:r w:rsidRPr="00060670">
        <w:rPr>
          <w:rFonts w:ascii="Century" w:hAnsi="Century" w:cs="Miriam" w:hint="cs"/>
          <w:b/>
          <w:spacing w:val="0"/>
          <w:sz w:val="22"/>
          <w:szCs w:val="24"/>
          <w:u w:val="single"/>
          <w:rtl/>
        </w:rPr>
        <w:t xml:space="preserve"> בלעדיה אין: בלעדי הסמכה כאמור, שום כנסת לא היתה מ</w:t>
      </w:r>
      <w:r>
        <w:rPr>
          <w:rFonts w:ascii="Century" w:hAnsi="Century" w:cs="Miriam" w:hint="cs"/>
          <w:b/>
          <w:spacing w:val="0"/>
          <w:sz w:val="22"/>
          <w:szCs w:val="24"/>
          <w:u w:val="single"/>
          <w:rtl/>
        </w:rPr>
        <w:t>וסמכת לחוקק שום חוק</w:t>
      </w:r>
      <w:r w:rsidRPr="00060670">
        <w:rPr>
          <w:rFonts w:ascii="Century" w:hAnsi="Century" w:cs="Miriam" w:hint="cs"/>
          <w:b/>
          <w:spacing w:val="0"/>
          <w:sz w:val="22"/>
          <w:szCs w:val="24"/>
          <w:u w:val="single"/>
          <w:rtl/>
        </w:rPr>
        <w:t>.</w:t>
      </w:r>
      <w:r>
        <w:rPr>
          <w:rFonts w:hint="cs"/>
          <w:rtl/>
        </w:rPr>
        <w:t xml:space="preserve"> אם נתעלם מהסמכה זו, לא נמצא במשפטנו שום הוראה פורמלית שנותנת לחוקי הכנסת תוקף משפטי, ושמחייבת את מוסדות המדינה ואת אזרחיה לקיים חוקים אלה ולציית להם. </w:t>
      </w:r>
      <w:r w:rsidRPr="00110110">
        <w:rPr>
          <w:rFonts w:ascii="Century" w:hAnsi="Century" w:cs="Miriam" w:hint="cs"/>
          <w:b/>
          <w:spacing w:val="0"/>
          <w:sz w:val="22"/>
          <w:szCs w:val="24"/>
          <w:rtl/>
        </w:rPr>
        <w:t xml:space="preserve">הסמכה זו </w:t>
      </w:r>
      <w:r w:rsidRPr="00110110">
        <w:rPr>
          <w:rFonts w:ascii="Century" w:hAnsi="Century" w:cs="Miriam"/>
          <w:b/>
          <w:spacing w:val="0"/>
          <w:sz w:val="22"/>
          <w:szCs w:val="24"/>
          <w:rtl/>
        </w:rPr>
        <w:t>–</w:t>
      </w:r>
      <w:r w:rsidRPr="00110110">
        <w:rPr>
          <w:rFonts w:ascii="Century" w:hAnsi="Century" w:cs="Miriam" w:hint="cs"/>
          <w:b/>
          <w:spacing w:val="0"/>
          <w:sz w:val="22"/>
          <w:szCs w:val="24"/>
          <w:rtl/>
        </w:rPr>
        <w:t xml:space="preserve"> וגבולותיה </w:t>
      </w:r>
      <w:r w:rsidRPr="00110110">
        <w:rPr>
          <w:rFonts w:ascii="Century" w:hAnsi="Century" w:cs="Miriam"/>
          <w:b/>
          <w:spacing w:val="0"/>
          <w:sz w:val="22"/>
          <w:szCs w:val="24"/>
          <w:rtl/>
        </w:rPr>
        <w:t>–</w:t>
      </w:r>
      <w:r w:rsidRPr="00110110">
        <w:rPr>
          <w:rFonts w:ascii="Century" w:hAnsi="Century" w:cs="Miriam" w:hint="cs"/>
          <w:b/>
          <w:spacing w:val="0"/>
          <w:sz w:val="22"/>
          <w:szCs w:val="24"/>
          <w:rtl/>
        </w:rPr>
        <w:t xml:space="preserve"> זכו להכרת העם בזמן </w:t>
      </w:r>
      <w:r w:rsidRPr="00A71861">
        <w:rPr>
          <w:rFonts w:ascii="Century" w:hAnsi="Century" w:cs="Miriam" w:hint="cs"/>
          <w:b/>
          <w:spacing w:val="0"/>
          <w:sz w:val="22"/>
          <w:szCs w:val="24"/>
          <w:rtl/>
        </w:rPr>
        <w:t>קביעתם</w:t>
      </w:r>
      <w:r>
        <w:rPr>
          <w:rFonts w:hint="cs"/>
          <w:rtl/>
        </w:rPr>
        <w:t xml:space="preserve">. כל אלה מתועדים בהכרזת העצמאות. מעמדה המשפטי הפורמלי של ההכרזה כנורמת-העל </w:t>
      </w:r>
      <w:r>
        <w:rPr>
          <w:rtl/>
        </w:rPr>
        <w:t>–</w:t>
      </w:r>
      <w:r>
        <w:rPr>
          <w:rFonts w:hint="cs"/>
          <w:rtl/>
        </w:rPr>
        <w:t xml:space="preserve"> כלל ההכרה הבסיסי, כלשונו של הארט </w:t>
      </w:r>
      <w:r>
        <w:rPr>
          <w:rtl/>
        </w:rPr>
        <w:t>–</w:t>
      </w:r>
      <w:r>
        <w:rPr>
          <w:rFonts w:hint="cs"/>
          <w:rtl/>
        </w:rPr>
        <w:t xml:space="preserve"> עוגן במנשר ואחריו בפקודת סדרי השלטון והמשפט בלשון ברורה שאינה מותירה מקום לספקות. </w:t>
      </w:r>
    </w:p>
    <w:p w:rsidR="00553FDC" w:rsidRDefault="00553FDC" w:rsidP="00553FDC">
      <w:pPr>
        <w:pStyle w:val="Ruller4"/>
        <w:numPr>
          <w:ilvl w:val="0"/>
          <w:numId w:val="0"/>
        </w:numPr>
      </w:pPr>
    </w:p>
    <w:p w:rsidR="00553FDC" w:rsidRDefault="00553FDC" w:rsidP="00553FDC">
      <w:pPr>
        <w:pStyle w:val="Ruller4"/>
      </w:pPr>
      <w:r>
        <w:rPr>
          <w:rFonts w:hint="cs"/>
          <w:rtl/>
        </w:rPr>
        <w:t xml:space="preserve">אלו שטוענים אחרת מפנים אותנו למונחים אמורפיים כדוגמת "דמוקרטיה" ו"רצון העם". באומרי "מונחים אמורפיים" אין בכוונתי להקטין את חשיבותם החברתית והמדינית. דמוקרטיה ורצון העם עומדים בבסיס קיומנו כמדינה וכחברה. אולם, מונחים אלה אינם בגדר כללי משפט, מאחר שלא ניתן לגזור מהם מענה לשאלת-השאלות ששאלתי בפתח דבריי: האם הכנסת מוסמכת לחוקק כל חוק כראות עיניה? מענה לשאלה </w:t>
      </w:r>
      <w:r>
        <w:rPr>
          <w:rFonts w:hint="cs"/>
          <w:rtl/>
        </w:rPr>
        <w:lastRenderedPageBreak/>
        <w:t xml:space="preserve">זו אינו יכול להיגזר מ"רצון העם" או מ"דמוקרטיה" מסיבה פשוטה: רצון העם ודמוקרטיה יכולים לתת תשובות שונות ומגוונות לשאלה שבה עסקינן, ומהי התשובה שהם נתנו לשאלה זו </w:t>
      </w:r>
      <w:r>
        <w:rPr>
          <w:rtl/>
        </w:rPr>
        <w:t>–</w:t>
      </w:r>
      <w:r>
        <w:rPr>
          <w:rFonts w:hint="cs"/>
          <w:rtl/>
        </w:rPr>
        <w:t xml:space="preserve"> כעניין של עובדה </w:t>
      </w:r>
      <w:r>
        <w:rPr>
          <w:rtl/>
        </w:rPr>
        <w:t>–</w:t>
      </w:r>
      <w:r>
        <w:rPr>
          <w:rFonts w:hint="cs"/>
          <w:rtl/>
        </w:rPr>
        <w:t xml:space="preserve"> היא שאלה של עובדה אשר טעונה בירור עובדתי. בירור זה מובילנו אל מסמכי ההקמה של המדינה ומהם </w:t>
      </w:r>
      <w:r>
        <w:rPr>
          <w:rtl/>
        </w:rPr>
        <w:t>–</w:t>
      </w:r>
      <w:r>
        <w:rPr>
          <w:rFonts w:hint="cs"/>
          <w:rtl/>
        </w:rPr>
        <w:t xml:space="preserve"> אל הכרזת העצמאות. אין לה, לכנסת, מקור סמכות אחר לחוקק חוקים. אם נתעלם מהאמור במנשר, בפקודת סדרי השלטון והמשפט המקורית ובהכרזת העצמאות, נמצא את הכנסת נטולת סמכויות חקיקה </w:t>
      </w:r>
      <w:r>
        <w:rPr>
          <w:rtl/>
        </w:rPr>
        <w:t>–</w:t>
      </w:r>
      <w:r>
        <w:rPr>
          <w:rFonts w:hint="cs"/>
          <w:rtl/>
        </w:rPr>
        <w:t xml:space="preserve"> תוצאה שמן הסתם אינה מתקבלת על הדעת ואינה נכונה.  </w:t>
      </w:r>
    </w:p>
    <w:p w:rsidR="00553FDC" w:rsidRDefault="00553FDC" w:rsidP="00553FDC">
      <w:pPr>
        <w:pStyle w:val="Ruller4"/>
        <w:numPr>
          <w:ilvl w:val="0"/>
          <w:numId w:val="0"/>
        </w:numPr>
      </w:pPr>
    </w:p>
    <w:p w:rsidR="00553FDC" w:rsidRDefault="00553FDC" w:rsidP="00553FDC">
      <w:pPr>
        <w:pStyle w:val="Ruller4"/>
        <w:rPr>
          <w:rFonts w:ascii="Century" w:hAnsi="Century"/>
          <w:sz w:val="22"/>
        </w:rPr>
      </w:pPr>
      <w:r>
        <w:rPr>
          <w:rFonts w:hint="cs"/>
          <w:rtl/>
        </w:rPr>
        <w:t xml:space="preserve">מכאן עולה מסקנה ברורה וחד-משמעית: </w:t>
      </w:r>
      <w:r w:rsidRPr="00C00DDA">
        <w:rPr>
          <w:rFonts w:ascii="Century" w:hAnsi="Century" w:cs="Miriam" w:hint="cs"/>
          <w:b/>
          <w:spacing w:val="0"/>
          <w:sz w:val="22"/>
          <w:szCs w:val="24"/>
          <w:u w:val="single"/>
          <w:rtl/>
        </w:rPr>
        <w:t xml:space="preserve">חוקי הכנסת לעולם כפופים לגבולותיה של סמכות החקיקה </w:t>
      </w:r>
      <w:r>
        <w:rPr>
          <w:rFonts w:ascii="Century" w:hAnsi="Century" w:cs="Miriam" w:hint="cs"/>
          <w:b/>
          <w:spacing w:val="0"/>
          <w:sz w:val="22"/>
          <w:szCs w:val="24"/>
          <w:u w:val="single"/>
          <w:rtl/>
        </w:rPr>
        <w:t xml:space="preserve">הכללית </w:t>
      </w:r>
      <w:r w:rsidRPr="00C00DDA">
        <w:rPr>
          <w:rFonts w:ascii="Century" w:hAnsi="Century" w:cs="Miriam" w:hint="cs"/>
          <w:b/>
          <w:spacing w:val="0"/>
          <w:sz w:val="22"/>
          <w:szCs w:val="24"/>
          <w:u w:val="single"/>
          <w:rtl/>
        </w:rPr>
        <w:t>אשר נקבעה בהכרזת העצמאות</w:t>
      </w:r>
      <w:r>
        <w:rPr>
          <w:rFonts w:hint="cs"/>
          <w:rtl/>
        </w:rPr>
        <w:t xml:space="preserve">. </w:t>
      </w:r>
      <w:r w:rsidRPr="00C75A74">
        <w:rPr>
          <w:rFonts w:ascii="Century" w:hAnsi="Century" w:hint="cs"/>
          <w:sz w:val="22"/>
          <w:rtl/>
        </w:rPr>
        <w:t>סמכות זו עברה מכנסת לכנסת כמות שהיא.</w:t>
      </w:r>
      <w:r>
        <w:rPr>
          <w:rFonts w:ascii="Century" w:hAnsi="Century" w:hint="cs"/>
          <w:sz w:val="22"/>
          <w:rtl/>
        </w:rPr>
        <w:t xml:space="preserve"> מועצת המדינה הזמנית לא יכלה להעביר לכנסת הראשונה יותר סמכויות משהיו לה, וכך הוא גם לגבי שאר ההעברות של סמכות החקיקה מכנסת לכנסת; כפי שנאמר: </w:t>
      </w:r>
      <w:r w:rsidRPr="00C75A74">
        <w:rPr>
          <w:rFonts w:asciiTheme="majorBidi" w:hAnsiTheme="majorBidi" w:cstheme="majorBidi"/>
          <w:szCs w:val="24"/>
        </w:rPr>
        <w:t>nemo dat quod non habet</w:t>
      </w:r>
      <w:r>
        <w:rPr>
          <w:rFonts w:ascii="Century" w:hAnsi="Century" w:hint="cs"/>
          <w:sz w:val="22"/>
          <w:rtl/>
        </w:rPr>
        <w:t xml:space="preserve">. </w:t>
      </w:r>
      <w:r w:rsidRPr="00C75A74">
        <w:rPr>
          <w:rFonts w:ascii="Century" w:hAnsi="Century" w:cs="Miriam" w:hint="cs"/>
          <w:b/>
          <w:spacing w:val="0"/>
          <w:sz w:val="22"/>
          <w:szCs w:val="24"/>
          <w:rtl/>
        </w:rPr>
        <w:t xml:space="preserve">הכנסת הנוכחית, כמו כל כנסת אחרת, אינה רשאית </w:t>
      </w:r>
      <w:r>
        <w:rPr>
          <w:rFonts w:ascii="Century" w:hAnsi="Century" w:cs="Miriam" w:hint="cs"/>
          <w:b/>
          <w:spacing w:val="0"/>
          <w:sz w:val="22"/>
          <w:szCs w:val="24"/>
          <w:rtl/>
        </w:rPr>
        <w:t xml:space="preserve">אפוא </w:t>
      </w:r>
      <w:r w:rsidRPr="00C75A74">
        <w:rPr>
          <w:rFonts w:ascii="Century" w:hAnsi="Century" w:cs="Miriam" w:hint="cs"/>
          <w:b/>
          <w:spacing w:val="0"/>
          <w:sz w:val="22"/>
          <w:szCs w:val="24"/>
          <w:rtl/>
        </w:rPr>
        <w:t xml:space="preserve">לחרוג </w:t>
      </w:r>
      <w:r>
        <w:rPr>
          <w:rFonts w:ascii="Century" w:hAnsi="Century" w:cs="Miriam" w:hint="cs"/>
          <w:b/>
          <w:spacing w:val="0"/>
          <w:sz w:val="22"/>
          <w:szCs w:val="24"/>
          <w:rtl/>
        </w:rPr>
        <w:t>מסמכות חקיקה זו</w:t>
      </w:r>
      <w:r w:rsidRPr="00C75A74">
        <w:rPr>
          <w:rFonts w:ascii="Century" w:hAnsi="Century" w:cs="Miriam" w:hint="cs"/>
          <w:b/>
          <w:spacing w:val="0"/>
          <w:sz w:val="22"/>
          <w:szCs w:val="24"/>
          <w:rtl/>
        </w:rPr>
        <w:t xml:space="preserve"> בבואה לחוקק חוקים</w:t>
      </w:r>
      <w:r w:rsidRPr="00C75A74">
        <w:rPr>
          <w:rFonts w:ascii="Century" w:hAnsi="Century" w:hint="cs"/>
          <w:sz w:val="22"/>
          <w:rtl/>
        </w:rPr>
        <w:t xml:space="preserve">. </w:t>
      </w:r>
    </w:p>
    <w:p w:rsidR="00553FDC" w:rsidRDefault="00553FDC" w:rsidP="00553FDC">
      <w:pPr>
        <w:pStyle w:val="Ruller4"/>
        <w:numPr>
          <w:ilvl w:val="0"/>
          <w:numId w:val="0"/>
        </w:numPr>
        <w:rPr>
          <w:rFonts w:ascii="Century" w:hAnsi="Century"/>
          <w:sz w:val="22"/>
          <w:rtl/>
        </w:rPr>
      </w:pPr>
    </w:p>
    <w:p w:rsidR="00553FDC" w:rsidRPr="00DA72E8" w:rsidRDefault="00553FDC" w:rsidP="00553FDC">
      <w:pPr>
        <w:pStyle w:val="Ruller41"/>
        <w:rPr>
          <w:rFonts w:ascii="Century" w:hAnsi="Century" w:cs="Miriam"/>
          <w:b/>
          <w:spacing w:val="0"/>
          <w:szCs w:val="24"/>
          <w:rtl/>
        </w:rPr>
      </w:pPr>
      <w:r w:rsidRPr="00DA72E8">
        <w:rPr>
          <w:rFonts w:ascii="Century" w:hAnsi="Century" w:cs="Miriam" w:hint="cs"/>
          <w:b/>
          <w:spacing w:val="0"/>
          <w:szCs w:val="24"/>
          <w:rtl/>
        </w:rPr>
        <w:t xml:space="preserve">הכרזת העצמאות כבחירה בדמוקרטיה </w:t>
      </w:r>
      <w:r>
        <w:rPr>
          <w:rFonts w:ascii="Century" w:hAnsi="Century" w:cs="Miriam" w:hint="cs"/>
          <w:b/>
          <w:spacing w:val="0"/>
          <w:szCs w:val="24"/>
          <w:rtl/>
        </w:rPr>
        <w:t>מאוזנת,</w:t>
      </w:r>
      <w:r w:rsidRPr="00DA72E8">
        <w:rPr>
          <w:rFonts w:ascii="Century" w:hAnsi="Century" w:cs="Miriam" w:hint="cs"/>
          <w:b/>
          <w:spacing w:val="0"/>
          <w:szCs w:val="24"/>
          <w:rtl/>
        </w:rPr>
        <w:t xml:space="preserve"> </w:t>
      </w:r>
      <w:r>
        <w:rPr>
          <w:rFonts w:ascii="Century" w:hAnsi="Century" w:cs="Miriam" w:hint="cs"/>
          <w:b/>
          <w:spacing w:val="0"/>
          <w:szCs w:val="24"/>
          <w:rtl/>
        </w:rPr>
        <w:t>ו</w:t>
      </w:r>
      <w:r w:rsidRPr="00DA72E8">
        <w:rPr>
          <w:rFonts w:ascii="Century" w:hAnsi="Century" w:cs="Miriam" w:hint="cs"/>
          <w:b/>
          <w:spacing w:val="0"/>
          <w:szCs w:val="24"/>
          <w:rtl/>
        </w:rPr>
        <w:t>לא אריתמטית</w:t>
      </w:r>
    </w:p>
    <w:p w:rsidR="00553FDC" w:rsidRPr="00DA72E8" w:rsidRDefault="00553FDC" w:rsidP="00553FDC">
      <w:pPr>
        <w:pStyle w:val="Ruller41"/>
        <w:rPr>
          <w:rtl/>
        </w:rPr>
      </w:pPr>
    </w:p>
    <w:p w:rsidR="00553FDC" w:rsidRDefault="00553FDC" w:rsidP="00553FDC">
      <w:pPr>
        <w:pStyle w:val="Ruller4"/>
        <w:rPr>
          <w:rFonts w:ascii="Century" w:hAnsi="Century"/>
          <w:sz w:val="22"/>
        </w:rPr>
      </w:pPr>
      <w:r>
        <w:rPr>
          <w:rFonts w:hint="cs"/>
          <w:rtl/>
        </w:rPr>
        <w:t xml:space="preserve">כאמור, על מסקנתי </w:t>
      </w:r>
      <w:r>
        <w:rPr>
          <w:rFonts w:ascii="Century" w:hAnsi="Century" w:hint="cs"/>
          <w:sz w:val="22"/>
          <w:rtl/>
        </w:rPr>
        <w:t xml:space="preserve">בדבר כפיפות הכנסת, כרשות מחוקקת, להכרזת העצמאות </w:t>
      </w:r>
      <w:r>
        <w:rPr>
          <w:rFonts w:hint="cs"/>
          <w:rtl/>
        </w:rPr>
        <w:t xml:space="preserve">לא ניתן לחלוק לנוכח מהות הסמכות שמועצת </w:t>
      </w:r>
      <w:r>
        <w:rPr>
          <w:rFonts w:ascii="Century" w:hAnsi="Century" w:hint="cs"/>
          <w:sz w:val="22"/>
          <w:rtl/>
        </w:rPr>
        <w:t xml:space="preserve">העם, שהיתה למועצת המדינה הזמנית, </w:t>
      </w:r>
      <w:r>
        <w:rPr>
          <w:rFonts w:hint="cs"/>
          <w:rtl/>
        </w:rPr>
        <w:t xml:space="preserve">והכנסות אשר באו אחריה, קיבלו לידיהן בייסוּד המדינה במאי 1948. </w:t>
      </w:r>
      <w:r w:rsidRPr="00D01655">
        <w:rPr>
          <w:rFonts w:ascii="Century" w:hAnsi="Century" w:cs="Miriam" w:hint="cs"/>
          <w:b/>
          <w:spacing w:val="0"/>
          <w:sz w:val="22"/>
          <w:szCs w:val="24"/>
          <w:rtl/>
        </w:rPr>
        <w:t>סמכות החקיקה של הכנסת אינה סמכות מוחלטת נטולת סייגים וגבולות, ומעולם לא היתה כזאת.</w:t>
      </w:r>
      <w:r>
        <w:rPr>
          <w:rFonts w:hint="cs"/>
          <w:rtl/>
        </w:rPr>
        <w:t xml:space="preserve"> מדובר בסמכות שהוגבלה מעיקרה במסמך מכונן </w:t>
      </w:r>
      <w:r>
        <w:rPr>
          <w:rtl/>
        </w:rPr>
        <w:t>–</w:t>
      </w:r>
      <w:r>
        <w:rPr>
          <w:rFonts w:hint="cs"/>
          <w:rtl/>
        </w:rPr>
        <w:t xml:space="preserve"> הכרזת העצמאות, שקבעה את אופייה של מדינת ישראל לנצח-נצחים </w:t>
      </w:r>
      <w:r>
        <w:rPr>
          <w:rtl/>
        </w:rPr>
        <w:t>–</w:t>
      </w:r>
      <w:r>
        <w:rPr>
          <w:rFonts w:hint="cs"/>
          <w:rtl/>
        </w:rPr>
        <w:t xml:space="preserve"> אשר העניק לכנסת את סמכות החקיקה. בכך שונה הכנסת שלנו מהפרלמנט הבריטי, על שני בתיו, אשר קיבל לידיו, באופן פורמלי, סמכויות חקיקה בלתי מוגבלות שנכפפו רק לחתימתו הטקסית של הכתר (ראו: </w:t>
      </w:r>
      <w:r w:rsidRPr="00D01655">
        <w:rPr>
          <w:rFonts w:asciiTheme="majorBidi" w:hAnsiTheme="majorBidi" w:cstheme="majorBidi"/>
          <w:smallCaps/>
        </w:rPr>
        <w:t>A.V. Dicey, Introduction to the Study of the Law of the Constitution</w:t>
      </w:r>
      <w:r w:rsidRPr="00D01655">
        <w:rPr>
          <w:rFonts w:asciiTheme="majorBidi" w:hAnsiTheme="majorBidi" w:cstheme="majorBidi"/>
        </w:rPr>
        <w:t xml:space="preserve"> 3-4 (8th ed. 1915)</w:t>
      </w:r>
      <w:r>
        <w:rPr>
          <w:rFonts w:hint="cs"/>
          <w:rtl/>
        </w:rPr>
        <w:t>)).</w:t>
      </w:r>
      <w:r>
        <w:rPr>
          <w:rFonts w:ascii="Century" w:hAnsi="Century" w:hint="cs"/>
          <w:sz w:val="22"/>
          <w:rtl/>
        </w:rPr>
        <w:t xml:space="preserve"> </w:t>
      </w:r>
    </w:p>
    <w:p w:rsidR="00553FDC" w:rsidRDefault="00553FDC" w:rsidP="00553FDC">
      <w:pPr>
        <w:pStyle w:val="Ruller4"/>
        <w:numPr>
          <w:ilvl w:val="0"/>
          <w:numId w:val="0"/>
        </w:numPr>
        <w:rPr>
          <w:rFonts w:ascii="Century" w:hAnsi="Century"/>
          <w:sz w:val="22"/>
        </w:rPr>
      </w:pPr>
    </w:p>
    <w:p w:rsidR="00553FDC" w:rsidRPr="00DA72E8" w:rsidRDefault="00553FDC" w:rsidP="00553FDC">
      <w:pPr>
        <w:pStyle w:val="Ruller4"/>
        <w:rPr>
          <w:rFonts w:ascii="Century" w:hAnsi="Century"/>
          <w:sz w:val="22"/>
        </w:rPr>
      </w:pPr>
      <w:r w:rsidRPr="0070683A">
        <w:rPr>
          <w:rFonts w:hint="eastAsia"/>
          <w:rtl/>
        </w:rPr>
        <w:t>לפי</w:t>
      </w:r>
      <w:r w:rsidRPr="0070683A">
        <w:rPr>
          <w:rtl/>
        </w:rPr>
        <w:t xml:space="preserve"> </w:t>
      </w:r>
      <w:r w:rsidRPr="0070683A">
        <w:rPr>
          <w:rFonts w:hint="eastAsia"/>
          <w:rtl/>
        </w:rPr>
        <w:t>הדעה</w:t>
      </w:r>
      <w:r w:rsidRPr="0070683A">
        <w:rPr>
          <w:rtl/>
        </w:rPr>
        <w:t xml:space="preserve"> </w:t>
      </w:r>
      <w:r w:rsidRPr="0070683A">
        <w:rPr>
          <w:rFonts w:hint="eastAsia"/>
          <w:rtl/>
        </w:rPr>
        <w:t>ש</w:t>
      </w:r>
      <w:r>
        <w:rPr>
          <w:rFonts w:hint="cs"/>
          <w:rtl/>
        </w:rPr>
        <w:t>קנתה</w:t>
      </w:r>
      <w:r w:rsidRPr="00A25883">
        <w:rPr>
          <w:rFonts w:hint="cs"/>
          <w:rtl/>
        </w:rPr>
        <w:t xml:space="preserve"> אחיזה בקרב הציבור שאינו בקי ברזי המשפט, </w:t>
      </w:r>
      <w:r>
        <w:rPr>
          <w:rFonts w:ascii="Century" w:hAnsi="Century" w:hint="cs"/>
          <w:sz w:val="22"/>
          <w:rtl/>
        </w:rPr>
        <w:t xml:space="preserve">ואף אצל כמה וכמה משפטנים, </w:t>
      </w:r>
      <w:r w:rsidRPr="00A25883">
        <w:rPr>
          <w:rFonts w:hint="cs"/>
          <w:rtl/>
        </w:rPr>
        <w:t xml:space="preserve">הכנסת היא ריבון דמוקרטי </w:t>
      </w:r>
      <w:r>
        <w:rPr>
          <w:rFonts w:hint="cs"/>
          <w:rtl/>
        </w:rPr>
        <w:t xml:space="preserve">כל-יכול, אשר </w:t>
      </w:r>
      <w:r w:rsidRPr="001D55BD">
        <w:rPr>
          <w:rFonts w:hint="cs"/>
          <w:rtl/>
        </w:rPr>
        <w:t xml:space="preserve">מטמיע בתוכו את רצון העם </w:t>
      </w:r>
      <w:r>
        <w:rPr>
          <w:rFonts w:hint="cs"/>
          <w:rtl/>
        </w:rPr>
        <w:t xml:space="preserve">כולו, </w:t>
      </w:r>
      <w:r w:rsidRPr="001D55BD">
        <w:rPr>
          <w:rFonts w:hint="cs"/>
          <w:rtl/>
        </w:rPr>
        <w:t>ו</w:t>
      </w:r>
      <w:r>
        <w:rPr>
          <w:rFonts w:hint="cs"/>
          <w:rtl/>
        </w:rPr>
        <w:t xml:space="preserve">אשר יכול לחוקק כל חוק; </w:t>
      </w:r>
      <w:r w:rsidRPr="001D55BD">
        <w:rPr>
          <w:rFonts w:hint="cs"/>
          <w:rtl/>
        </w:rPr>
        <w:t>ואחרי כינונם של חוקי</w:t>
      </w:r>
      <w:r w:rsidRPr="0070683A">
        <w:rPr>
          <w:rtl/>
        </w:rPr>
        <w:t xml:space="preserve"> </w:t>
      </w:r>
      <w:r w:rsidRPr="0070683A">
        <w:rPr>
          <w:rFonts w:hint="eastAsia"/>
          <w:rtl/>
        </w:rPr>
        <w:t>היסוד</w:t>
      </w:r>
      <w:r>
        <w:rPr>
          <w:rFonts w:hint="cs"/>
          <w:rtl/>
        </w:rPr>
        <w:t xml:space="preserve"> </w:t>
      </w:r>
      <w:r>
        <w:rPr>
          <w:rtl/>
        </w:rPr>
        <w:t>–</w:t>
      </w:r>
      <w:r>
        <w:rPr>
          <w:rFonts w:hint="cs"/>
          <w:rtl/>
        </w:rPr>
        <w:t xml:space="preserve"> כל חוק שאינו מנוגד להם. </w:t>
      </w:r>
    </w:p>
    <w:p w:rsidR="00553FDC" w:rsidRPr="00DA72E8" w:rsidRDefault="00553FDC" w:rsidP="00553FDC">
      <w:pPr>
        <w:pStyle w:val="Ruller4"/>
        <w:numPr>
          <w:ilvl w:val="0"/>
          <w:numId w:val="0"/>
        </w:numPr>
        <w:rPr>
          <w:rFonts w:ascii="Century" w:hAnsi="Century"/>
          <w:sz w:val="22"/>
        </w:rPr>
      </w:pPr>
    </w:p>
    <w:p w:rsidR="00553FDC" w:rsidRPr="00FD45C9" w:rsidRDefault="00553FDC" w:rsidP="00553FDC">
      <w:pPr>
        <w:pStyle w:val="Ruller4"/>
        <w:rPr>
          <w:rFonts w:ascii="Century" w:hAnsi="Century"/>
          <w:sz w:val="22"/>
        </w:rPr>
      </w:pPr>
      <w:r>
        <w:rPr>
          <w:rFonts w:hint="cs"/>
          <w:rtl/>
        </w:rPr>
        <w:lastRenderedPageBreak/>
        <w:t xml:space="preserve">דא עקא, דעה זו אינה משקפת את המצב המשפטי הקיים כעניין של עובדה, וממילא אינה מעוגנת בשום אסמכתא משפטית פורמלית. מדובר בדעה רווחת אך שגויה מן היסוד. שאלו את מי שאוחז בדעה זו "היכן בדיוק מצויה הסמכה של הכנסת לחוקק כטוב בעיניה?" </w:t>
      </w:r>
      <w:r>
        <w:rPr>
          <w:rtl/>
        </w:rPr>
        <w:t>–</w:t>
      </w:r>
      <w:r>
        <w:rPr>
          <w:rFonts w:hint="cs"/>
          <w:rtl/>
        </w:rPr>
        <w:t xml:space="preserve"> וכל שתוכלו לקבל במענה הוא הפניה </w:t>
      </w:r>
      <w:r>
        <w:rPr>
          <w:rFonts w:ascii="Century" w:hAnsi="Century" w:hint="cs"/>
          <w:sz w:val="22"/>
          <w:rtl/>
        </w:rPr>
        <w:t xml:space="preserve">לצמד המילים "רצון העם", שכאמור אינו ברור דיו ואינו </w:t>
      </w:r>
      <w:r w:rsidRPr="00FD45C9">
        <w:rPr>
          <w:rFonts w:ascii="Century" w:hAnsi="Century" w:hint="cs"/>
          <w:sz w:val="22"/>
          <w:rtl/>
        </w:rPr>
        <w:t>מעוגן בשום אסמכתא, ו</w:t>
      </w:r>
      <w:r>
        <w:rPr>
          <w:rFonts w:hint="cs"/>
          <w:rtl/>
        </w:rPr>
        <w:t xml:space="preserve">למושג הכללי של "דמוקרטיה", שלו, כידוע, יש תכנים שונים ומשמעויות רבות ומגוונות אשר משתנים מחברה לחברה וממדינה למדינה. "דמוקרטיה" כפשוטה אכן יכולה לכלול בתוכה הסמכה גורפת של הגוף המחוקק לחוקק חוקים כטוב בעיניו, אך לא מעט משטרים דמוקרטיים, אם לא רובם, מטילים הגבלות משמעותיות על סמכותו של הגוף המחוקק. </w:t>
      </w:r>
      <w:r>
        <w:rPr>
          <w:rFonts w:ascii="Century" w:hAnsi="Century" w:hint="cs"/>
          <w:sz w:val="22"/>
          <w:rtl/>
        </w:rPr>
        <w:t>למשל: ברוב המשטרים הדמוקרטיים, אם לא בכולם, לא ניתן לחוקק חוק שיקבע כי בעלותו של אזרח פלוני בביתו-שלו תבוטל והאזרח ובני ביתו יפונו מתוכו ויהפכו לדרי רחוב.</w:t>
      </w:r>
    </w:p>
    <w:p w:rsidR="00553FDC" w:rsidRPr="002A6475" w:rsidRDefault="00553FDC" w:rsidP="00553FDC">
      <w:pPr>
        <w:pStyle w:val="Ruller4"/>
        <w:numPr>
          <w:ilvl w:val="0"/>
          <w:numId w:val="0"/>
        </w:numPr>
        <w:rPr>
          <w:rFonts w:ascii="Century" w:hAnsi="Century"/>
          <w:sz w:val="22"/>
        </w:rPr>
      </w:pPr>
    </w:p>
    <w:p w:rsidR="00553FDC" w:rsidRPr="00DA72E8" w:rsidRDefault="00553FDC" w:rsidP="00553FDC">
      <w:pPr>
        <w:pStyle w:val="Ruller4"/>
        <w:rPr>
          <w:rFonts w:ascii="Century" w:hAnsi="Century"/>
          <w:sz w:val="22"/>
        </w:rPr>
      </w:pPr>
      <w:r>
        <w:rPr>
          <w:rFonts w:hint="cs"/>
          <w:rtl/>
        </w:rPr>
        <w:t xml:space="preserve">לכך יש רציונל ברור וידוע, שלא נתקשה להבינו אם נעמיד לנגד עינינו חברה עסקית נטולת איסורים על קיפוח המיעוט. בחברה זו, הרוב האריתמטי יכול להשתלט בכל עת על מוקדי קבלת ההחלטות, לנהל את החברה לפי מאווייו מבלי להתחשב באינטרסים של המיעוט, ולבסוף, לנכס לעצמו את הכספים והמשאבים שהמיעוט השקיע בחברה ולהשאיר את המיעוט בלא כלום. חברה כזאת, מטבע הדברים, לא תוכל לגייס השקעות מכל אלו שיחששו להפוך למיעוט אריתמטי; אלה שכבר השקיעו בחברה ימהרו למשוך חזרה את השקעותיהם ויבריחו ממנה את משאביהם ואת רגליהם, בטרם יהפכו למיעוט נרדף ומנוצל עד היסוד; והמיעוט </w:t>
      </w:r>
      <w:r w:rsidRPr="00A25883">
        <w:rPr>
          <w:rFonts w:hint="cs"/>
          <w:rtl/>
        </w:rPr>
        <w:t xml:space="preserve">האריתמטי שיישאר בחברה (אם בכלל) ינוצל באופן תמידי וללא רחמים על ידי הרוב. </w:t>
      </w:r>
      <w:r w:rsidRPr="00FD164A">
        <w:rPr>
          <w:rFonts w:ascii="Century" w:hAnsi="Century" w:cs="Miriam" w:hint="cs"/>
          <w:b/>
          <w:spacing w:val="0"/>
          <w:sz w:val="22"/>
          <w:szCs w:val="24"/>
          <w:u w:val="single"/>
          <w:rtl/>
        </w:rPr>
        <w:t>תרחיש אימים זה הוא נחלתה</w:t>
      </w:r>
      <w:r w:rsidRPr="00FD164A">
        <w:rPr>
          <w:rFonts w:ascii="Century" w:hAnsi="Century" w:cs="Miriam"/>
          <w:b/>
          <w:spacing w:val="0"/>
          <w:sz w:val="22"/>
          <w:szCs w:val="24"/>
          <w:u w:val="single"/>
          <w:rtl/>
        </w:rPr>
        <w:t xml:space="preserve"> </w:t>
      </w:r>
      <w:r w:rsidRPr="00FD164A">
        <w:rPr>
          <w:rFonts w:ascii="Century" w:hAnsi="Century" w:cs="Miriam" w:hint="eastAsia"/>
          <w:b/>
          <w:spacing w:val="0"/>
          <w:sz w:val="22"/>
          <w:szCs w:val="24"/>
          <w:u w:val="single"/>
          <w:rtl/>
        </w:rPr>
        <w:t>של</w:t>
      </w:r>
      <w:r w:rsidRPr="00FD164A">
        <w:rPr>
          <w:rFonts w:ascii="Century" w:hAnsi="Century" w:cs="Miriam"/>
          <w:b/>
          <w:spacing w:val="0"/>
          <w:sz w:val="22"/>
          <w:szCs w:val="24"/>
          <w:u w:val="single"/>
          <w:rtl/>
        </w:rPr>
        <w:t xml:space="preserve"> </w:t>
      </w:r>
      <w:r w:rsidRPr="00FD164A">
        <w:rPr>
          <w:rFonts w:ascii="Century" w:hAnsi="Century" w:cs="Miriam" w:hint="eastAsia"/>
          <w:b/>
          <w:spacing w:val="0"/>
          <w:sz w:val="22"/>
          <w:szCs w:val="24"/>
          <w:u w:val="single"/>
          <w:rtl/>
        </w:rPr>
        <w:t>כל</w:t>
      </w:r>
      <w:r w:rsidRPr="00FD164A">
        <w:rPr>
          <w:rFonts w:ascii="Century" w:hAnsi="Century" w:cs="Miriam"/>
          <w:b/>
          <w:spacing w:val="0"/>
          <w:sz w:val="22"/>
          <w:szCs w:val="24"/>
          <w:u w:val="single"/>
          <w:rtl/>
        </w:rPr>
        <w:t xml:space="preserve"> </w:t>
      </w:r>
      <w:r w:rsidRPr="00FD164A">
        <w:rPr>
          <w:rFonts w:ascii="Century" w:hAnsi="Century" w:cs="Miriam" w:hint="eastAsia"/>
          <w:b/>
          <w:spacing w:val="0"/>
          <w:sz w:val="22"/>
          <w:szCs w:val="24"/>
          <w:u w:val="single"/>
          <w:rtl/>
        </w:rPr>
        <w:t>דמוקרטי</w:t>
      </w:r>
      <w:r w:rsidRPr="00FD164A">
        <w:rPr>
          <w:rFonts w:ascii="Century" w:hAnsi="Century" w:cs="Miriam" w:hint="cs"/>
          <w:b/>
          <w:spacing w:val="0"/>
          <w:sz w:val="22"/>
          <w:szCs w:val="24"/>
          <w:u w:val="single"/>
          <w:rtl/>
        </w:rPr>
        <w:t>ה אריתמטית נטולת רסנים, הגבלות ואיזונים</w:t>
      </w:r>
      <w:r>
        <w:rPr>
          <w:rFonts w:hint="cs"/>
          <w:rtl/>
        </w:rPr>
        <w:t>;</w:t>
      </w:r>
      <w:r w:rsidRPr="001D55BD">
        <w:rPr>
          <w:rFonts w:hint="cs"/>
          <w:rtl/>
        </w:rPr>
        <w:t xml:space="preserve"> ואידך זיל גמור (ראו: </w:t>
      </w:r>
      <w:r w:rsidRPr="00DA72E8">
        <w:rPr>
          <w:rFonts w:asciiTheme="majorBidi" w:hAnsiTheme="majorBidi" w:cstheme="majorBidi"/>
          <w:szCs w:val="24"/>
        </w:rPr>
        <w:t xml:space="preserve">Daron Acemoglu </w:t>
      </w:r>
      <w:r w:rsidRPr="00DA72E8">
        <w:rPr>
          <w:rFonts w:asciiTheme="majorBidi" w:hAnsiTheme="majorBidi" w:cstheme="majorBidi"/>
          <w:i/>
          <w:iCs/>
          <w:szCs w:val="24"/>
        </w:rPr>
        <w:t>et al</w:t>
      </w:r>
      <w:r w:rsidRPr="00DA72E8">
        <w:rPr>
          <w:rFonts w:asciiTheme="majorBidi" w:hAnsiTheme="majorBidi" w:cstheme="majorBidi"/>
          <w:szCs w:val="24"/>
        </w:rPr>
        <w:t xml:space="preserve">., </w:t>
      </w:r>
      <w:r w:rsidRPr="00DA72E8">
        <w:rPr>
          <w:rFonts w:asciiTheme="majorBidi" w:hAnsiTheme="majorBidi" w:cstheme="majorBidi"/>
          <w:i/>
          <w:iCs/>
          <w:szCs w:val="24"/>
        </w:rPr>
        <w:t>Institutions as a Fundamental Cause of Long-run Growth</w:t>
      </w:r>
      <w:r w:rsidRPr="00DA72E8">
        <w:rPr>
          <w:rFonts w:asciiTheme="majorBidi" w:hAnsiTheme="majorBidi" w:cstheme="majorBidi"/>
          <w:szCs w:val="24"/>
        </w:rPr>
        <w:t xml:space="preserve">, in </w:t>
      </w:r>
      <w:r w:rsidRPr="00DA72E8">
        <w:rPr>
          <w:rFonts w:asciiTheme="majorBidi" w:hAnsiTheme="majorBidi" w:cstheme="majorBidi"/>
          <w:smallCaps/>
          <w:szCs w:val="24"/>
        </w:rPr>
        <w:t>Handbook of Economic Growth</w:t>
      </w:r>
      <w:r w:rsidRPr="00DA72E8">
        <w:rPr>
          <w:rFonts w:asciiTheme="majorBidi" w:hAnsiTheme="majorBidi" w:cstheme="majorBidi"/>
          <w:szCs w:val="24"/>
        </w:rPr>
        <w:t xml:space="preserve"> 1, 385-472 (2005); Douglass C. North </w:t>
      </w:r>
      <w:r w:rsidRPr="00DA72E8">
        <w:rPr>
          <w:rFonts w:asciiTheme="majorBidi" w:hAnsiTheme="majorBidi" w:cstheme="majorBidi"/>
          <w:i/>
          <w:iCs/>
          <w:szCs w:val="24"/>
        </w:rPr>
        <w:t>et al</w:t>
      </w:r>
      <w:r w:rsidRPr="00DA72E8">
        <w:rPr>
          <w:rFonts w:asciiTheme="majorBidi" w:hAnsiTheme="majorBidi" w:cstheme="majorBidi"/>
          <w:szCs w:val="24"/>
        </w:rPr>
        <w:t xml:space="preserve">., </w:t>
      </w:r>
      <w:r w:rsidRPr="00DA72E8">
        <w:rPr>
          <w:rFonts w:asciiTheme="majorBidi" w:hAnsiTheme="majorBidi" w:cstheme="majorBidi"/>
          <w:i/>
          <w:iCs/>
          <w:szCs w:val="24"/>
        </w:rPr>
        <w:t>Constitutions and Commitment: The Evolution of Institutions Governing Public Choice in Seventeenth-Century England</w:t>
      </w:r>
      <w:r w:rsidRPr="00DA72E8">
        <w:rPr>
          <w:rFonts w:asciiTheme="majorBidi" w:hAnsiTheme="majorBidi" w:cstheme="majorBidi"/>
          <w:szCs w:val="24"/>
        </w:rPr>
        <w:t xml:space="preserve">, 49 </w:t>
      </w:r>
      <w:r w:rsidRPr="00DA72E8">
        <w:rPr>
          <w:rFonts w:asciiTheme="majorBidi" w:hAnsiTheme="majorBidi" w:cstheme="majorBidi"/>
          <w:smallCaps/>
          <w:szCs w:val="24"/>
        </w:rPr>
        <w:t>J. Econ. His.</w:t>
      </w:r>
      <w:r w:rsidRPr="00DA72E8">
        <w:rPr>
          <w:rFonts w:asciiTheme="majorBidi" w:hAnsiTheme="majorBidi" w:cstheme="majorBidi"/>
          <w:szCs w:val="24"/>
        </w:rPr>
        <w:t xml:space="preserve"> 803 (1989)</w:t>
      </w:r>
      <w:r w:rsidRPr="00DA72E8">
        <w:rPr>
          <w:rFonts w:ascii="Century" w:hAnsi="Century"/>
          <w:sz w:val="22"/>
          <w:rtl/>
        </w:rPr>
        <w:t>).</w:t>
      </w:r>
      <w:r w:rsidRPr="00DA72E8">
        <w:rPr>
          <w:rFonts w:asciiTheme="majorBidi" w:hAnsiTheme="majorBidi" w:cstheme="majorBidi"/>
          <w:szCs w:val="24"/>
          <w:rtl/>
        </w:rPr>
        <w:t xml:space="preserve"> </w:t>
      </w:r>
    </w:p>
    <w:p w:rsidR="00553FDC" w:rsidRPr="000F06AD" w:rsidRDefault="00553FDC" w:rsidP="00553FDC">
      <w:pPr>
        <w:pStyle w:val="Ruller4"/>
        <w:numPr>
          <w:ilvl w:val="0"/>
          <w:numId w:val="0"/>
        </w:numPr>
      </w:pPr>
    </w:p>
    <w:p w:rsidR="00553FDC" w:rsidRDefault="00553FDC" w:rsidP="00553FDC">
      <w:pPr>
        <w:pStyle w:val="Ruller4"/>
      </w:pPr>
      <w:r>
        <w:rPr>
          <w:rFonts w:hint="cs"/>
          <w:rtl/>
        </w:rPr>
        <w:t xml:space="preserve">אפשרות התממשותו של תרחיש אימים זה מסבירה את קיומה של הדעה הרווחת אשר רואה בכללים חוקתיים </w:t>
      </w:r>
      <w:r>
        <w:rPr>
          <w:rtl/>
        </w:rPr>
        <w:t>–</w:t>
      </w:r>
      <w:r>
        <w:rPr>
          <w:rFonts w:hint="cs"/>
          <w:rtl/>
        </w:rPr>
        <w:t xml:space="preserve"> ובראשם כלל ההכרה הבסיסי עליו עומד המשפט כולו </w:t>
      </w:r>
      <w:r>
        <w:rPr>
          <w:rtl/>
        </w:rPr>
        <w:t>–</w:t>
      </w:r>
      <w:r>
        <w:rPr>
          <w:rFonts w:hint="cs"/>
          <w:rtl/>
        </w:rPr>
        <w:t xml:space="preserve"> אמצעי בלימה למניעת התרחיש. האוחזים בדעה זו </w:t>
      </w:r>
      <w:r>
        <w:rPr>
          <w:rtl/>
        </w:rPr>
        <w:t>–</w:t>
      </w:r>
      <w:r>
        <w:rPr>
          <w:rFonts w:hint="cs"/>
          <w:rtl/>
        </w:rPr>
        <w:t xml:space="preserve"> דמוקרטיה מאוזנת, לא אריתמטית </w:t>
      </w:r>
      <w:r>
        <w:rPr>
          <w:rtl/>
        </w:rPr>
        <w:t>–</w:t>
      </w:r>
      <w:r>
        <w:rPr>
          <w:rFonts w:hint="cs"/>
          <w:rtl/>
        </w:rPr>
        <w:t xml:space="preserve"> מפרידים את עצמם מהדמוקרט הדוגמטי שגוזר את כללי המשפט מספירת ראשים ושאינו נכון להכיר בשום מגבלות להכרעת הרוב בחברה. </w:t>
      </w:r>
    </w:p>
    <w:p w:rsidR="00553FDC" w:rsidRDefault="00553FDC" w:rsidP="00553FDC">
      <w:pPr>
        <w:pStyle w:val="Ruller4"/>
        <w:numPr>
          <w:ilvl w:val="0"/>
          <w:numId w:val="0"/>
        </w:numPr>
        <w:rPr>
          <w:rtl/>
        </w:rPr>
      </w:pPr>
    </w:p>
    <w:p w:rsidR="00553FDC" w:rsidRDefault="00553FDC" w:rsidP="00553FDC">
      <w:pPr>
        <w:pStyle w:val="Ruller4"/>
        <w:numPr>
          <w:ilvl w:val="0"/>
          <w:numId w:val="0"/>
        </w:numPr>
        <w:rPr>
          <w:rtl/>
        </w:rPr>
      </w:pPr>
      <w:r>
        <w:rPr>
          <w:rtl/>
        </w:rPr>
        <w:lastRenderedPageBreak/>
        <w:tab/>
      </w:r>
      <w:r>
        <w:rPr>
          <w:rFonts w:hint="cs"/>
          <w:rtl/>
        </w:rPr>
        <w:t xml:space="preserve">הכלכלן הנודע, </w:t>
      </w:r>
      <w:r w:rsidRPr="00F61437">
        <w:rPr>
          <w:rFonts w:hint="eastAsia"/>
          <w:rtl/>
        </w:rPr>
        <w:t>פרידריך</w:t>
      </w:r>
      <w:r w:rsidRPr="00F61437">
        <w:rPr>
          <w:rtl/>
        </w:rPr>
        <w:t xml:space="preserve"> </w:t>
      </w:r>
      <w:r w:rsidRPr="00F61437">
        <w:rPr>
          <w:rFonts w:hint="eastAsia"/>
          <w:rtl/>
        </w:rPr>
        <w:t>האייק</w:t>
      </w:r>
      <w:r>
        <w:rPr>
          <w:rFonts w:hint="cs"/>
          <w:rtl/>
        </w:rPr>
        <w:t>, הציג דעה זו באופן קצר וקולע:</w:t>
      </w:r>
    </w:p>
    <w:p w:rsidR="00553FDC" w:rsidRDefault="00553FDC" w:rsidP="00553FDC">
      <w:pPr>
        <w:pStyle w:val="Ruller41"/>
        <w:rPr>
          <w:rtl/>
        </w:rPr>
      </w:pPr>
    </w:p>
    <w:p w:rsidR="00553FDC" w:rsidRDefault="00553FDC" w:rsidP="00553FDC">
      <w:pPr>
        <w:pStyle w:val="Ruller5"/>
        <w:bidi w:val="0"/>
        <w:rPr>
          <w:rFonts w:asciiTheme="majorBidi" w:hAnsiTheme="majorBidi" w:cstheme="majorBidi"/>
          <w:smallCaps/>
          <w:sz w:val="24"/>
          <w:szCs w:val="24"/>
        </w:rPr>
      </w:pPr>
      <w:r w:rsidRPr="009A27BD">
        <w:rPr>
          <w:rFonts w:asciiTheme="majorBidi" w:hAnsiTheme="majorBidi" w:cstheme="majorBidi"/>
          <w:sz w:val="24"/>
          <w:szCs w:val="24"/>
        </w:rPr>
        <w:t xml:space="preserve">"The crucial conception of the doctrinaire democrat is that of popular sovereignty. This means to him that majority rule is unlimited and unlimitable. The ideal of democracy, originally intended to prevent all arbitrary power, thus becomes a justification for a new arbitrary power. Yet the authority of democratic decision rests on its being made by the majority of a community which is held together by certain beliefs common to most members; and it is necessary that the majority submit to these common principles even when it may be in its immediate interest to violate them. […] </w:t>
      </w:r>
      <w:r w:rsidRPr="00AE38A4">
        <w:rPr>
          <w:rFonts w:asciiTheme="majorBidi" w:hAnsiTheme="majorBidi" w:cstheme="majorBidi"/>
          <w:i/>
          <w:iCs/>
          <w:sz w:val="24"/>
          <w:szCs w:val="24"/>
        </w:rPr>
        <w:t>The essential point remains: it is the acceptance of such common principles that makes a collection of people a community. And this common acceptance is the indispensable condition for a free society</w:t>
      </w:r>
      <w:r w:rsidRPr="009A27BD">
        <w:rPr>
          <w:rFonts w:asciiTheme="majorBidi" w:hAnsiTheme="majorBidi" w:cstheme="majorBidi"/>
          <w:sz w:val="24"/>
          <w:szCs w:val="24"/>
        </w:rPr>
        <w:t xml:space="preserve">. A group of men normally become a society not by giving themselves laws but by obeying the same rules of conduct. </w:t>
      </w:r>
      <w:r w:rsidRPr="00AE38A4">
        <w:rPr>
          <w:rFonts w:asciiTheme="majorBidi" w:hAnsiTheme="majorBidi" w:cstheme="majorBidi"/>
          <w:i/>
          <w:iCs/>
          <w:sz w:val="24"/>
          <w:szCs w:val="24"/>
        </w:rPr>
        <w:t>This means that the power of the majority is limited by those commonly held principles and that there is no legitimate power beyond them</w:t>
      </w:r>
      <w:r w:rsidRPr="009A27BD">
        <w:rPr>
          <w:rFonts w:asciiTheme="majorBidi" w:hAnsiTheme="majorBidi" w:cstheme="majorBidi"/>
          <w:sz w:val="24"/>
          <w:szCs w:val="24"/>
        </w:rPr>
        <w:t>"</w:t>
      </w:r>
      <w:r>
        <w:rPr>
          <w:rFonts w:asciiTheme="majorBidi" w:hAnsiTheme="majorBidi" w:cstheme="majorBidi"/>
          <w:sz w:val="24"/>
          <w:szCs w:val="24"/>
        </w:rPr>
        <w:t xml:space="preserve">. </w:t>
      </w:r>
    </w:p>
    <w:p w:rsidR="00553FDC" w:rsidRDefault="00553FDC" w:rsidP="00553FDC">
      <w:pPr>
        <w:pStyle w:val="Ruller5"/>
        <w:bidi w:val="0"/>
        <w:rPr>
          <w:rFonts w:asciiTheme="majorBidi" w:hAnsiTheme="majorBidi" w:cstheme="majorBidi"/>
          <w:smallCaps/>
          <w:sz w:val="24"/>
          <w:szCs w:val="24"/>
        </w:rPr>
      </w:pPr>
    </w:p>
    <w:p w:rsidR="00553FDC" w:rsidRDefault="00553FDC" w:rsidP="00553FDC">
      <w:pPr>
        <w:pStyle w:val="Ruller5"/>
        <w:bidi w:val="0"/>
        <w:rPr>
          <w:rtl/>
        </w:rPr>
      </w:pPr>
      <w:r w:rsidRPr="009A27BD">
        <w:rPr>
          <w:rFonts w:asciiTheme="majorBidi" w:hAnsiTheme="majorBidi" w:cstheme="majorBidi"/>
          <w:smallCaps/>
          <w:sz w:val="24"/>
          <w:szCs w:val="24"/>
        </w:rPr>
        <w:t>Friedrich A. Hayek, The Constitution of Liberty</w:t>
      </w:r>
      <w:r w:rsidRPr="009A27BD">
        <w:rPr>
          <w:rFonts w:asciiTheme="majorBidi" w:hAnsiTheme="majorBidi" w:cstheme="majorBidi"/>
          <w:sz w:val="24"/>
          <w:szCs w:val="24"/>
        </w:rPr>
        <w:t xml:space="preserve"> 106-107 (1960).</w:t>
      </w:r>
      <w:r>
        <w:t xml:space="preserve"> </w:t>
      </w:r>
    </w:p>
    <w:p w:rsidR="00553FDC" w:rsidRDefault="00553FDC" w:rsidP="00553FDC">
      <w:pPr>
        <w:pStyle w:val="Ruller5"/>
        <w:rPr>
          <w:rtl/>
        </w:rPr>
      </w:pPr>
    </w:p>
    <w:p w:rsidR="00553FDC" w:rsidRPr="00AE38A4" w:rsidRDefault="00553FDC" w:rsidP="00553FDC">
      <w:pPr>
        <w:pStyle w:val="Ruller5"/>
        <w:rPr>
          <w:rtl/>
        </w:rPr>
      </w:pPr>
      <w:r>
        <w:rPr>
          <w:rFonts w:hint="cs"/>
          <w:rtl/>
        </w:rPr>
        <w:t xml:space="preserve">(ההדגשה הוספה </w:t>
      </w:r>
      <w:r>
        <w:rPr>
          <w:rtl/>
        </w:rPr>
        <w:t>–</w:t>
      </w:r>
      <w:r>
        <w:rPr>
          <w:rFonts w:hint="cs"/>
          <w:rtl/>
        </w:rPr>
        <w:t xml:space="preserve"> א.ש.).</w:t>
      </w:r>
    </w:p>
    <w:p w:rsidR="00553FDC" w:rsidRDefault="00553FDC" w:rsidP="00553FDC">
      <w:pPr>
        <w:pStyle w:val="Ruller41"/>
        <w:rPr>
          <w:rtl/>
        </w:rPr>
      </w:pPr>
    </w:p>
    <w:p w:rsidR="00553FDC" w:rsidRDefault="00553FDC" w:rsidP="00553FDC">
      <w:pPr>
        <w:pStyle w:val="Ruller41"/>
        <w:rPr>
          <w:rtl/>
        </w:rPr>
      </w:pPr>
      <w:r>
        <w:rPr>
          <w:rtl/>
        </w:rPr>
        <w:tab/>
      </w:r>
      <w:r>
        <w:rPr>
          <w:rFonts w:hint="cs"/>
          <w:rtl/>
        </w:rPr>
        <w:t>דברים חשובים אלה חשוב להביא גם בשפה העברית:</w:t>
      </w:r>
    </w:p>
    <w:p w:rsidR="00553FDC" w:rsidRDefault="00553FDC" w:rsidP="00553FDC">
      <w:pPr>
        <w:pStyle w:val="Ruller41"/>
        <w:rPr>
          <w:rtl/>
        </w:rPr>
      </w:pPr>
    </w:p>
    <w:p w:rsidR="00553FDC" w:rsidRDefault="00553FDC" w:rsidP="00553FDC">
      <w:pPr>
        <w:pStyle w:val="Ruller5"/>
        <w:rPr>
          <w:rtl/>
        </w:rPr>
      </w:pPr>
      <w:r>
        <w:rPr>
          <w:rFonts w:hint="cs"/>
          <w:rtl/>
        </w:rPr>
        <w:t xml:space="preserve">"עבור דמוקרט דוגמטי, מושג המפתח הוא ריבונות העם, שמשמעו שלטון רוב נטול מגבלות. בדרך זו, הרעיון הדמוקרטי, שבמקור נועד למנוע את היווצרותו של כוח שררה שרירותי, מייצר הצדקה לכוח שררה שרירותי חדש. </w:t>
      </w:r>
      <w:r w:rsidRPr="00F46DF9">
        <w:rPr>
          <w:rFonts w:ascii="Century" w:hAnsi="Century" w:cs="Miriam" w:hint="cs"/>
          <w:b/>
          <w:spacing w:val="0"/>
          <w:szCs w:val="24"/>
          <w:rtl/>
        </w:rPr>
        <w:t>ברם, סמכותה של ההכרעה הדמוקרטית נעוצה בהיותה החלטת הרוב בחברה שאחדותה מבוססת על תפישות עולם ואמונות המאפיינות את רוב בניה ובנותיה;</w:t>
      </w:r>
      <w:r w:rsidRPr="00F46DF9">
        <w:rPr>
          <w:rFonts w:hint="cs"/>
          <w:rtl/>
        </w:rPr>
        <w:t xml:space="preserve"> </w:t>
      </w:r>
      <w:r w:rsidRPr="00F46DF9">
        <w:rPr>
          <w:rFonts w:ascii="Century" w:hAnsi="Century" w:cs="Miriam" w:hint="cs"/>
          <w:b/>
          <w:spacing w:val="0"/>
          <w:szCs w:val="24"/>
          <w:u w:val="single"/>
          <w:rtl/>
        </w:rPr>
        <w:t>ועל כן מן ההכרח הוא שהרוב המתמטי יכפיף את עצמו לעקרונות משותפים אלה גם כאשר האינטרס המיידי שלו בא על סיפוקו על ידי הפרתם</w:t>
      </w:r>
      <w:r>
        <w:rPr>
          <w:rFonts w:hint="cs"/>
          <w:rtl/>
        </w:rPr>
        <w:t xml:space="preserve">. [...] הנקודה המכרעת כאן אינה אלא זאת: </w:t>
      </w:r>
      <w:r w:rsidRPr="00F46DF9">
        <w:rPr>
          <w:rFonts w:ascii="Century" w:hAnsi="Century" w:cs="Miriam" w:hint="cs"/>
          <w:b/>
          <w:spacing w:val="0"/>
          <w:szCs w:val="24"/>
          <w:u w:val="single"/>
          <w:rtl/>
        </w:rPr>
        <w:t>מה שהופך אוסף מקרי של אנשים לחברה ולמדינה הוא קבלת העקרונות המשותפים הללו</w:t>
      </w:r>
      <w:r w:rsidRPr="00F46DF9">
        <w:rPr>
          <w:rFonts w:hint="cs"/>
          <w:u w:val="single"/>
          <w:rtl/>
        </w:rPr>
        <w:t>.</w:t>
      </w:r>
      <w:r>
        <w:rPr>
          <w:rFonts w:hint="cs"/>
          <w:rtl/>
        </w:rPr>
        <w:t xml:space="preserve"> </w:t>
      </w:r>
      <w:r w:rsidRPr="008F1C84">
        <w:rPr>
          <w:rFonts w:ascii="Century" w:hAnsi="Century" w:cs="Miriam" w:hint="cs"/>
          <w:b/>
          <w:spacing w:val="0"/>
          <w:szCs w:val="24"/>
          <w:rtl/>
        </w:rPr>
        <w:t>קבלת העקרונות המשותפים הללו הינה תנאי הכרחי לקיומה של חברה חופשית</w:t>
      </w:r>
      <w:r>
        <w:rPr>
          <w:rFonts w:hint="cs"/>
          <w:rtl/>
        </w:rPr>
        <w:t xml:space="preserve">. קבוצת אנשים הופכת את עצמה לחברה מאורגנת לא על ידי קביעת חוקים ותקנות, אלא באמצעות ציות לאותם כללי התנהגות. </w:t>
      </w:r>
      <w:r w:rsidRPr="00F46DF9">
        <w:rPr>
          <w:rFonts w:ascii="Century" w:hAnsi="Century" w:cs="Miriam" w:hint="cs"/>
          <w:b/>
          <w:spacing w:val="0"/>
          <w:szCs w:val="24"/>
          <w:u w:val="single"/>
          <w:rtl/>
        </w:rPr>
        <w:t>מכאן המסקנה כי כוחו של הרוב מוגבל מעיקרו על ידי העקרונות המשותפים של החברה, ושום כוח לגיטימי אינו יכול לעמוד מעליהם</w:t>
      </w:r>
      <w:r>
        <w:rPr>
          <w:rFonts w:hint="cs"/>
          <w:rtl/>
        </w:rPr>
        <w:t xml:space="preserve">" </w:t>
      </w:r>
      <w:r>
        <w:rPr>
          <w:rFonts w:hint="cs"/>
          <w:rtl/>
        </w:rPr>
        <w:lastRenderedPageBreak/>
        <w:t xml:space="preserve">(תרגום שלי, שבמסגרתו נעשה מאמץ להישאר נאמן למהות הדברים שבמקור </w:t>
      </w:r>
      <w:r>
        <w:rPr>
          <w:rtl/>
        </w:rPr>
        <w:t>–</w:t>
      </w:r>
      <w:r>
        <w:rPr>
          <w:rFonts w:hint="cs"/>
          <w:rtl/>
        </w:rPr>
        <w:t xml:space="preserve"> א.ש.).</w:t>
      </w:r>
    </w:p>
    <w:p w:rsidR="00553FDC" w:rsidRPr="00DA72E8" w:rsidRDefault="00553FDC" w:rsidP="00553FDC">
      <w:pPr>
        <w:pStyle w:val="Ruller41"/>
        <w:rPr>
          <w:rtl/>
        </w:rPr>
      </w:pPr>
    </w:p>
    <w:p w:rsidR="00553FDC" w:rsidRPr="00B93016" w:rsidRDefault="00553FDC" w:rsidP="00553FDC">
      <w:pPr>
        <w:pStyle w:val="Ruller4"/>
      </w:pPr>
      <w:r>
        <w:rPr>
          <w:rFonts w:hint="cs"/>
          <w:rtl/>
        </w:rPr>
        <w:t>דברים אלה מסבירים את בחירתנו כעם</w:t>
      </w:r>
      <w:r>
        <w:rPr>
          <w:rtl/>
        </w:rPr>
        <w:t xml:space="preserve"> –</w:t>
      </w:r>
      <w:r>
        <w:rPr>
          <w:rFonts w:hint="cs"/>
          <w:rtl/>
        </w:rPr>
        <w:t xml:space="preserve"> מראשית ימי המדינה </w:t>
      </w:r>
      <w:r>
        <w:rPr>
          <w:rtl/>
        </w:rPr>
        <w:t>–</w:t>
      </w:r>
      <w:r>
        <w:rPr>
          <w:rFonts w:hint="cs"/>
          <w:rtl/>
        </w:rPr>
        <w:t xml:space="preserve"> בדמוקרטיה מאוזנת ומאזנת, שעיקריה תועדו באופן רשמי ומחייב בהכרזת העצמאות. בהקשרו של רציונל זה, חשוב להוסיף ולהדגיש כי </w:t>
      </w:r>
      <w:r w:rsidRPr="0033610C">
        <w:rPr>
          <w:rFonts w:ascii="Century" w:hAnsi="Century" w:cs="Miriam" w:hint="cs"/>
          <w:b/>
          <w:spacing w:val="0"/>
          <w:sz w:val="22"/>
          <w:szCs w:val="24"/>
          <w:rtl/>
        </w:rPr>
        <w:t>הכרזת העצמאות</w:t>
      </w:r>
      <w:r w:rsidRPr="0033610C">
        <w:rPr>
          <w:rFonts w:hint="cs"/>
          <w:rtl/>
        </w:rPr>
        <w:t xml:space="preserve"> </w:t>
      </w:r>
      <w:r w:rsidRPr="00BB5C1B">
        <w:rPr>
          <w:rFonts w:ascii="Century" w:hAnsi="Century" w:cs="Miriam" w:hint="cs"/>
          <w:b/>
          <w:spacing w:val="0"/>
          <w:sz w:val="22"/>
          <w:szCs w:val="24"/>
          <w:rtl/>
        </w:rPr>
        <w:t>אינה בגדר חוקה</w:t>
      </w:r>
      <w:r>
        <w:rPr>
          <w:rFonts w:hint="cs"/>
          <w:rtl/>
        </w:rPr>
        <w:t xml:space="preserve">. הכרזת העצמאות ממילא לא נועדה להיות חוקה, שכן היא אינה מכילה בתוכה רשימה סדורה של סדרי ממשל וזכויות האדם (ראו והשוו: </w:t>
      </w:r>
      <w:r w:rsidRPr="00B93016">
        <w:rPr>
          <w:rFonts w:asciiTheme="majorBidi" w:hAnsiTheme="majorBidi" w:cstheme="majorBidi"/>
          <w:smallCaps/>
          <w:color w:val="222222"/>
          <w:shd w:val="clear" w:color="auto" w:fill="FFFFFF"/>
        </w:rPr>
        <w:t>Erwin Chemerinsky, Constitutional Law: Principles and Policies</w:t>
      </w:r>
      <w:r w:rsidRPr="00B93016">
        <w:rPr>
          <w:rFonts w:asciiTheme="majorBidi" w:hAnsiTheme="majorBidi" w:cstheme="majorBidi"/>
          <w:color w:val="222222"/>
          <w:shd w:val="clear" w:color="auto" w:fill="FFFFFF"/>
        </w:rPr>
        <w:t xml:space="preserve"> 1-3 (2019)</w:t>
      </w:r>
      <w:r>
        <w:rPr>
          <w:rFonts w:ascii="Century" w:hAnsi="Century" w:hint="cs"/>
          <w:sz w:val="22"/>
          <w:shd w:val="clear" w:color="auto" w:fill="FFFFFF"/>
          <w:rtl/>
        </w:rPr>
        <w:t xml:space="preserve"> (להלן: </w:t>
      </w:r>
      <w:r w:rsidRPr="005F050E">
        <w:rPr>
          <w:rFonts w:ascii="Century" w:hAnsi="Century" w:cs="Miriam" w:hint="cs"/>
          <w:b/>
          <w:spacing w:val="0"/>
          <w:sz w:val="22"/>
          <w:szCs w:val="24"/>
          <w:shd w:val="clear" w:color="auto" w:fill="FFFFFF"/>
          <w:rtl/>
        </w:rPr>
        <w:t>שמרינסקי</w:t>
      </w:r>
      <w:r>
        <w:rPr>
          <w:rFonts w:ascii="Century" w:hAnsi="Century" w:hint="cs"/>
          <w:sz w:val="22"/>
          <w:shd w:val="clear" w:color="auto" w:fill="FFFFFF"/>
          <w:rtl/>
        </w:rPr>
        <w:t xml:space="preserve">)). </w:t>
      </w:r>
      <w:r>
        <w:rPr>
          <w:rFonts w:hint="cs"/>
          <w:rtl/>
        </w:rPr>
        <w:t>אולם, כפי שכבר הוסבר על ידי, להכרזת העצמאות יש מעמד חוקתי מכונן כ"כלל ההכרה" הבסיסי: נורמת יסוד עליה עומד המשפט הישראלי כולו.</w:t>
      </w:r>
    </w:p>
    <w:p w:rsidR="00553FDC" w:rsidRDefault="00553FDC" w:rsidP="00553FDC">
      <w:pPr>
        <w:pStyle w:val="Ruller4"/>
        <w:numPr>
          <w:ilvl w:val="0"/>
          <w:numId w:val="0"/>
        </w:numPr>
        <w:rPr>
          <w:rFonts w:ascii="Century" w:hAnsi="Century" w:cs="Miriam"/>
          <w:b/>
          <w:spacing w:val="0"/>
          <w:sz w:val="22"/>
          <w:szCs w:val="24"/>
          <w:rtl/>
        </w:rPr>
      </w:pPr>
    </w:p>
    <w:p w:rsidR="00553FDC" w:rsidRPr="00DB4825" w:rsidRDefault="00553FDC" w:rsidP="00553FDC">
      <w:pPr>
        <w:pStyle w:val="Ruller4"/>
        <w:numPr>
          <w:ilvl w:val="0"/>
          <w:numId w:val="0"/>
        </w:numPr>
        <w:rPr>
          <w:rFonts w:ascii="Century" w:hAnsi="Century" w:cs="Miriam"/>
          <w:b/>
          <w:spacing w:val="0"/>
          <w:sz w:val="22"/>
          <w:szCs w:val="24"/>
          <w:rtl/>
        </w:rPr>
      </w:pPr>
      <w:r w:rsidRPr="00DB4825">
        <w:rPr>
          <w:rFonts w:ascii="Century" w:hAnsi="Century" w:cs="Miriam" w:hint="cs"/>
          <w:b/>
          <w:spacing w:val="0"/>
          <w:sz w:val="22"/>
          <w:szCs w:val="24"/>
          <w:rtl/>
        </w:rPr>
        <w:t xml:space="preserve">הכרזת העצמאות </w:t>
      </w:r>
    </w:p>
    <w:p w:rsidR="00553FDC" w:rsidRPr="00DB4825" w:rsidRDefault="00553FDC" w:rsidP="00553FDC">
      <w:pPr>
        <w:pStyle w:val="Ruller41"/>
      </w:pPr>
    </w:p>
    <w:p w:rsidR="00553FDC" w:rsidRDefault="00553FDC" w:rsidP="00553FDC">
      <w:pPr>
        <w:pStyle w:val="Ruller4"/>
      </w:pPr>
      <w:r>
        <w:rPr>
          <w:rFonts w:hint="cs"/>
          <w:rtl/>
        </w:rPr>
        <w:t>הכרזת העצמאות הכריזה "</w:t>
      </w:r>
      <w:r>
        <w:rPr>
          <w:rFonts w:hint="eastAsia"/>
          <w:rtl/>
        </w:rPr>
        <w:t>על</w:t>
      </w:r>
      <w:r>
        <w:rPr>
          <w:rtl/>
        </w:rPr>
        <w:t xml:space="preserve"> </w:t>
      </w:r>
      <w:r>
        <w:rPr>
          <w:rFonts w:hint="eastAsia"/>
          <w:rtl/>
        </w:rPr>
        <w:t>הקמת</w:t>
      </w:r>
      <w:r>
        <w:rPr>
          <w:rtl/>
        </w:rPr>
        <w:t xml:space="preserve"> </w:t>
      </w:r>
      <w:r>
        <w:rPr>
          <w:rFonts w:hint="eastAsia"/>
          <w:rtl/>
        </w:rPr>
        <w:t>מדינה</w:t>
      </w:r>
      <w:r>
        <w:rPr>
          <w:rtl/>
        </w:rPr>
        <w:t xml:space="preserve"> </w:t>
      </w:r>
      <w:r>
        <w:rPr>
          <w:rFonts w:hint="eastAsia"/>
          <w:rtl/>
        </w:rPr>
        <w:t>יהודית</w:t>
      </w:r>
      <w:r>
        <w:rPr>
          <w:rtl/>
        </w:rPr>
        <w:t xml:space="preserve"> </w:t>
      </w:r>
      <w:r>
        <w:rPr>
          <w:rFonts w:hint="eastAsia"/>
          <w:rtl/>
        </w:rPr>
        <w:t>בארץ</w:t>
      </w:r>
      <w:r>
        <w:rPr>
          <w:rtl/>
        </w:rPr>
        <w:t xml:space="preserve"> </w:t>
      </w:r>
      <w:r>
        <w:rPr>
          <w:rFonts w:hint="eastAsia"/>
          <w:rtl/>
        </w:rPr>
        <w:t>ישראל</w:t>
      </w:r>
      <w:r>
        <w:rPr>
          <w:rtl/>
        </w:rPr>
        <w:t xml:space="preserve">, </w:t>
      </w:r>
      <w:r>
        <w:rPr>
          <w:rFonts w:hint="eastAsia"/>
          <w:rtl/>
        </w:rPr>
        <w:t>היא</w:t>
      </w:r>
      <w:r>
        <w:rPr>
          <w:rtl/>
        </w:rPr>
        <w:t xml:space="preserve"> </w:t>
      </w:r>
      <w:r>
        <w:rPr>
          <w:rFonts w:hint="eastAsia"/>
          <w:rtl/>
        </w:rPr>
        <w:t>מדינת</w:t>
      </w:r>
      <w:r>
        <w:rPr>
          <w:rtl/>
        </w:rPr>
        <w:t xml:space="preserve"> </w:t>
      </w:r>
      <w:r>
        <w:rPr>
          <w:rFonts w:hint="eastAsia"/>
          <w:rtl/>
        </w:rPr>
        <w:t>ישראל</w:t>
      </w:r>
      <w:r>
        <w:rPr>
          <w:rFonts w:hint="cs"/>
          <w:rtl/>
        </w:rPr>
        <w:t>". מייסדי המדינה קבעו במסגרתה, בין היתר, כי "</w:t>
      </w:r>
      <w:r>
        <w:rPr>
          <w:rFonts w:hint="eastAsia"/>
          <w:rtl/>
        </w:rPr>
        <w:t>החל</w:t>
      </w:r>
      <w:r>
        <w:rPr>
          <w:rtl/>
        </w:rPr>
        <w:t xml:space="preserve"> </w:t>
      </w:r>
      <w:r>
        <w:rPr>
          <w:rFonts w:hint="eastAsia"/>
          <w:rtl/>
        </w:rPr>
        <w:t>מרגע</w:t>
      </w:r>
      <w:r>
        <w:rPr>
          <w:rtl/>
        </w:rPr>
        <w:t xml:space="preserve"> </w:t>
      </w:r>
      <w:r>
        <w:rPr>
          <w:rFonts w:hint="eastAsia"/>
          <w:rtl/>
        </w:rPr>
        <w:t>סיום</w:t>
      </w:r>
      <w:r>
        <w:rPr>
          <w:rtl/>
        </w:rPr>
        <w:t xml:space="preserve"> </w:t>
      </w:r>
      <w:r>
        <w:rPr>
          <w:rFonts w:hint="eastAsia"/>
          <w:rtl/>
        </w:rPr>
        <w:t>המנדט</w:t>
      </w:r>
      <w:r>
        <w:rPr>
          <w:rtl/>
        </w:rPr>
        <w:t xml:space="preserve">, </w:t>
      </w:r>
      <w:r>
        <w:rPr>
          <w:rFonts w:hint="eastAsia"/>
          <w:rtl/>
        </w:rPr>
        <w:t>הלילה</w:t>
      </w:r>
      <w:r>
        <w:rPr>
          <w:rtl/>
        </w:rPr>
        <w:t xml:space="preserve">, </w:t>
      </w:r>
      <w:r>
        <w:rPr>
          <w:rFonts w:hint="eastAsia"/>
          <w:rtl/>
        </w:rPr>
        <w:t>אור</w:t>
      </w:r>
      <w:r>
        <w:rPr>
          <w:rtl/>
        </w:rPr>
        <w:t xml:space="preserve"> </w:t>
      </w:r>
      <w:r>
        <w:rPr>
          <w:rFonts w:hint="eastAsia"/>
          <w:rtl/>
        </w:rPr>
        <w:t>ליום</w:t>
      </w:r>
      <w:r>
        <w:rPr>
          <w:rtl/>
        </w:rPr>
        <w:t xml:space="preserve"> </w:t>
      </w:r>
      <w:r>
        <w:rPr>
          <w:rFonts w:hint="eastAsia"/>
          <w:rtl/>
        </w:rPr>
        <w:t>שבת</w:t>
      </w:r>
      <w:r>
        <w:rPr>
          <w:rtl/>
        </w:rPr>
        <w:t xml:space="preserve"> </w:t>
      </w:r>
      <w:r>
        <w:rPr>
          <w:rFonts w:hint="eastAsia"/>
          <w:rtl/>
        </w:rPr>
        <w:t>ו</w:t>
      </w:r>
      <w:r>
        <w:rPr>
          <w:rtl/>
        </w:rPr>
        <w:t xml:space="preserve">' </w:t>
      </w:r>
      <w:r>
        <w:rPr>
          <w:rFonts w:hint="eastAsia"/>
          <w:rtl/>
        </w:rPr>
        <w:t>אייר</w:t>
      </w:r>
      <w:r>
        <w:rPr>
          <w:rtl/>
        </w:rPr>
        <w:t xml:space="preserve"> </w:t>
      </w:r>
      <w:r>
        <w:rPr>
          <w:rFonts w:hint="eastAsia"/>
          <w:rtl/>
        </w:rPr>
        <w:t>תש</w:t>
      </w:r>
      <w:r>
        <w:rPr>
          <w:rtl/>
        </w:rPr>
        <w:t>"</w:t>
      </w:r>
      <w:r>
        <w:rPr>
          <w:rFonts w:hint="eastAsia"/>
          <w:rtl/>
        </w:rPr>
        <w:t>ח</w:t>
      </w:r>
      <w:r>
        <w:rPr>
          <w:rtl/>
        </w:rPr>
        <w:t xml:space="preserve">, 15 </w:t>
      </w:r>
      <w:r>
        <w:rPr>
          <w:rFonts w:hint="eastAsia"/>
          <w:rtl/>
        </w:rPr>
        <w:t>במאי</w:t>
      </w:r>
      <w:r>
        <w:rPr>
          <w:rtl/>
        </w:rPr>
        <w:t xml:space="preserve"> 1948, </w:t>
      </w:r>
      <w:r>
        <w:rPr>
          <w:rFonts w:hint="eastAsia"/>
          <w:rtl/>
        </w:rPr>
        <w:t>ועד</w:t>
      </w:r>
      <w:r>
        <w:rPr>
          <w:rtl/>
        </w:rPr>
        <w:t xml:space="preserve"> </w:t>
      </w:r>
      <w:r>
        <w:rPr>
          <w:rFonts w:hint="eastAsia"/>
          <w:rtl/>
        </w:rPr>
        <w:t>להקמת</w:t>
      </w:r>
      <w:r>
        <w:rPr>
          <w:rtl/>
        </w:rPr>
        <w:t xml:space="preserve"> </w:t>
      </w:r>
      <w:r>
        <w:rPr>
          <w:rFonts w:hint="eastAsia"/>
          <w:rtl/>
        </w:rPr>
        <w:t>השלטונות</w:t>
      </w:r>
      <w:r>
        <w:rPr>
          <w:rtl/>
        </w:rPr>
        <w:t xml:space="preserve"> </w:t>
      </w:r>
      <w:r>
        <w:rPr>
          <w:rFonts w:hint="eastAsia"/>
          <w:rtl/>
        </w:rPr>
        <w:t>הנבחרים</w:t>
      </w:r>
      <w:r>
        <w:rPr>
          <w:rtl/>
        </w:rPr>
        <w:t xml:space="preserve"> </w:t>
      </w:r>
      <w:r>
        <w:rPr>
          <w:rFonts w:hint="eastAsia"/>
          <w:rtl/>
        </w:rPr>
        <w:t>והסדירים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בהתאם</w:t>
      </w:r>
      <w:r>
        <w:rPr>
          <w:rtl/>
        </w:rPr>
        <w:t xml:space="preserve"> </w:t>
      </w:r>
      <w:r>
        <w:rPr>
          <w:rFonts w:hint="eastAsia"/>
          <w:rtl/>
        </w:rPr>
        <w:t>לחוקה</w:t>
      </w:r>
      <w:r>
        <w:rPr>
          <w:rtl/>
        </w:rPr>
        <w:t xml:space="preserve"> </w:t>
      </w:r>
      <w:r w:rsidRPr="00126DC0">
        <w:rPr>
          <w:rFonts w:ascii="Century" w:hAnsi="Century" w:hint="eastAsia"/>
          <w:sz w:val="22"/>
          <w:rtl/>
        </w:rPr>
        <w:t>שתיקבע</w:t>
      </w:r>
      <w:r w:rsidRPr="00126DC0">
        <w:rPr>
          <w:rFonts w:ascii="Century" w:hAnsi="Century"/>
          <w:sz w:val="22"/>
          <w:rtl/>
        </w:rPr>
        <w:t xml:space="preserve"> </w:t>
      </w:r>
      <w:r w:rsidRPr="00126DC0">
        <w:rPr>
          <w:rFonts w:ascii="Century" w:hAnsi="Century" w:hint="cs"/>
          <w:sz w:val="22"/>
          <w:rtl/>
        </w:rPr>
        <w:t>על-ידי</w:t>
      </w:r>
      <w:r w:rsidRPr="00126DC0">
        <w:rPr>
          <w:rFonts w:ascii="Century" w:hAnsi="Century"/>
          <w:sz w:val="22"/>
          <w:rtl/>
        </w:rPr>
        <w:t xml:space="preserve"> </w:t>
      </w:r>
      <w:r>
        <w:rPr>
          <w:rFonts w:hint="eastAsia"/>
          <w:rtl/>
        </w:rPr>
        <w:t>האספה</w:t>
      </w:r>
      <w:r>
        <w:rPr>
          <w:rtl/>
        </w:rPr>
        <w:t xml:space="preserve"> </w:t>
      </w:r>
      <w:r>
        <w:rPr>
          <w:rFonts w:hint="eastAsia"/>
          <w:rtl/>
        </w:rPr>
        <w:t>המכוננת</w:t>
      </w:r>
      <w:r>
        <w:rPr>
          <w:rtl/>
        </w:rPr>
        <w:t xml:space="preserve"> </w:t>
      </w:r>
      <w:r>
        <w:rPr>
          <w:rFonts w:hint="eastAsia"/>
          <w:rtl/>
        </w:rPr>
        <w:t>הנבחרת</w:t>
      </w:r>
      <w:r>
        <w:rPr>
          <w:rtl/>
        </w:rPr>
        <w:t xml:space="preserve"> </w:t>
      </w:r>
      <w:r>
        <w:rPr>
          <w:rFonts w:hint="eastAsia"/>
          <w:rtl/>
        </w:rPr>
        <w:t>לא</w:t>
      </w:r>
      <w:r>
        <w:rPr>
          <w:rtl/>
        </w:rPr>
        <w:t xml:space="preserve"> </w:t>
      </w:r>
      <w:r>
        <w:rPr>
          <w:rFonts w:hint="eastAsia"/>
          <w:rtl/>
        </w:rPr>
        <w:t>יאוחר</w:t>
      </w:r>
      <w:r>
        <w:rPr>
          <w:rtl/>
        </w:rPr>
        <w:t xml:space="preserve"> </w:t>
      </w:r>
      <w:r>
        <w:rPr>
          <w:rFonts w:hint="eastAsia"/>
          <w:rtl/>
        </w:rPr>
        <w:t>מ</w:t>
      </w:r>
      <w:r>
        <w:rPr>
          <w:rtl/>
        </w:rPr>
        <w:t xml:space="preserve">-1 </w:t>
      </w:r>
      <w:r>
        <w:rPr>
          <w:rFonts w:hint="eastAsia"/>
          <w:rtl/>
        </w:rPr>
        <w:t>באוקטובר</w:t>
      </w:r>
      <w:r>
        <w:rPr>
          <w:rtl/>
        </w:rPr>
        <w:t xml:space="preserve"> 1948 –</w:t>
      </w:r>
      <w:r>
        <w:rPr>
          <w:rFonts w:hint="cs"/>
          <w:rtl/>
        </w:rPr>
        <w:t xml:space="preserve"> </w:t>
      </w:r>
      <w:r>
        <w:rPr>
          <w:rFonts w:hint="eastAsia"/>
          <w:rtl/>
        </w:rPr>
        <w:t>תפעל</w:t>
      </w:r>
      <w:r>
        <w:rPr>
          <w:rtl/>
        </w:rPr>
        <w:t xml:space="preserve"> </w:t>
      </w:r>
      <w:r>
        <w:rPr>
          <w:rFonts w:hint="eastAsia"/>
          <w:rtl/>
        </w:rPr>
        <w:t>מועצת</w:t>
      </w:r>
      <w:r>
        <w:rPr>
          <w:rtl/>
        </w:rPr>
        <w:t xml:space="preserve"> </w:t>
      </w:r>
      <w:r>
        <w:rPr>
          <w:rFonts w:hint="eastAsia"/>
          <w:rtl/>
        </w:rPr>
        <w:t>העם</w:t>
      </w:r>
      <w:r>
        <w:rPr>
          <w:rtl/>
        </w:rPr>
        <w:t xml:space="preserve"> </w:t>
      </w:r>
      <w:r>
        <w:rPr>
          <w:rFonts w:hint="eastAsia"/>
          <w:rtl/>
        </w:rPr>
        <w:t>כמועצת</w:t>
      </w:r>
      <w:r>
        <w:rPr>
          <w:rtl/>
        </w:rPr>
        <w:t xml:space="preserve"> </w:t>
      </w:r>
      <w:r>
        <w:rPr>
          <w:rFonts w:hint="eastAsia"/>
          <w:rtl/>
        </w:rPr>
        <w:t>מדינה</w:t>
      </w:r>
      <w:r>
        <w:rPr>
          <w:rtl/>
        </w:rPr>
        <w:t xml:space="preserve"> </w:t>
      </w:r>
      <w:r>
        <w:rPr>
          <w:rFonts w:hint="eastAsia"/>
          <w:rtl/>
        </w:rPr>
        <w:t>זמנית</w:t>
      </w:r>
      <w:r>
        <w:rPr>
          <w:rtl/>
        </w:rPr>
        <w:t xml:space="preserve">, </w:t>
      </w:r>
      <w:r>
        <w:rPr>
          <w:rFonts w:hint="eastAsia"/>
          <w:rtl/>
        </w:rPr>
        <w:t>ומוסד</w:t>
      </w:r>
      <w:r>
        <w:rPr>
          <w:rtl/>
        </w:rPr>
        <w:t xml:space="preserve"> </w:t>
      </w:r>
      <w:r>
        <w:rPr>
          <w:rFonts w:hint="eastAsia"/>
          <w:rtl/>
        </w:rPr>
        <w:t>הביצוע</w:t>
      </w:r>
      <w:r>
        <w:rPr>
          <w:rtl/>
        </w:rPr>
        <w:t xml:space="preserve"> </w:t>
      </w:r>
      <w:r>
        <w:rPr>
          <w:rFonts w:hint="eastAsia"/>
          <w:rtl/>
        </w:rPr>
        <w:t>שלה</w:t>
      </w:r>
      <w:r>
        <w:rPr>
          <w:rtl/>
        </w:rPr>
        <w:t xml:space="preserve">, </w:t>
      </w:r>
      <w:r>
        <w:rPr>
          <w:rFonts w:hint="eastAsia"/>
          <w:rtl/>
        </w:rPr>
        <w:t>מנהלת</w:t>
      </w:r>
      <w:r>
        <w:rPr>
          <w:rtl/>
        </w:rPr>
        <w:t>-</w:t>
      </w:r>
      <w:r>
        <w:rPr>
          <w:rFonts w:hint="eastAsia"/>
          <w:rtl/>
        </w:rPr>
        <w:t>העם</w:t>
      </w:r>
      <w:r>
        <w:rPr>
          <w:rtl/>
        </w:rPr>
        <w:t xml:space="preserve">, </w:t>
      </w:r>
      <w:r>
        <w:rPr>
          <w:rFonts w:hint="eastAsia"/>
          <w:rtl/>
        </w:rPr>
        <w:t>יהווה</w:t>
      </w:r>
      <w:r>
        <w:rPr>
          <w:rtl/>
        </w:rPr>
        <w:t xml:space="preserve"> </w:t>
      </w:r>
      <w:r>
        <w:rPr>
          <w:rFonts w:hint="eastAsia"/>
          <w:rtl/>
        </w:rPr>
        <w:t>את</w:t>
      </w:r>
      <w:r>
        <w:rPr>
          <w:rtl/>
        </w:rPr>
        <w:t xml:space="preserve"> </w:t>
      </w:r>
      <w:r>
        <w:rPr>
          <w:rFonts w:hint="eastAsia"/>
          <w:rtl/>
        </w:rPr>
        <w:t>הממשלה</w:t>
      </w:r>
      <w:r>
        <w:rPr>
          <w:rtl/>
        </w:rPr>
        <w:t xml:space="preserve"> </w:t>
      </w:r>
      <w:r>
        <w:rPr>
          <w:rFonts w:hint="eastAsia"/>
          <w:rtl/>
        </w:rPr>
        <w:t>הזמנית</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היהודית</w:t>
      </w:r>
      <w:r>
        <w:rPr>
          <w:rtl/>
        </w:rPr>
        <w:t xml:space="preserve">, </w:t>
      </w:r>
      <w:r>
        <w:rPr>
          <w:rFonts w:hint="eastAsia"/>
          <w:rtl/>
        </w:rPr>
        <w:t>אשר</w:t>
      </w:r>
      <w:r>
        <w:rPr>
          <w:rtl/>
        </w:rPr>
        <w:t xml:space="preserve"> </w:t>
      </w:r>
      <w:r>
        <w:rPr>
          <w:rFonts w:hint="eastAsia"/>
          <w:rtl/>
        </w:rPr>
        <w:t>תיקר</w:t>
      </w:r>
      <w:r w:rsidRPr="007935D1">
        <w:rPr>
          <w:rFonts w:ascii="Arial" w:hAnsi="Arial" w:cs="Arial" w:hint="cs"/>
          <w:rtl/>
        </w:rPr>
        <w:t>​</w:t>
      </w:r>
      <w:r w:rsidRPr="007935D1">
        <w:rPr>
          <w:rFonts w:ascii="FrankRuehl" w:hAnsi="FrankRuehl" w:hint="cs"/>
          <w:rtl/>
        </w:rPr>
        <w:t>א</w:t>
      </w:r>
      <w:r>
        <w:rPr>
          <w:rtl/>
        </w:rPr>
        <w:t xml:space="preserve"> </w:t>
      </w:r>
      <w:r>
        <w:rPr>
          <w:rFonts w:hint="eastAsia"/>
          <w:rtl/>
        </w:rPr>
        <w:t>בשם</w:t>
      </w:r>
      <w:r>
        <w:rPr>
          <w:rtl/>
        </w:rPr>
        <w:t xml:space="preserve"> </w:t>
      </w:r>
      <w:r>
        <w:rPr>
          <w:rFonts w:hint="eastAsia"/>
          <w:rtl/>
        </w:rPr>
        <w:t>ישראל</w:t>
      </w:r>
      <w:r>
        <w:rPr>
          <w:rFonts w:hint="cs"/>
          <w:rtl/>
        </w:rPr>
        <w:t>".</w:t>
      </w:r>
    </w:p>
    <w:p w:rsidR="00553FDC" w:rsidRPr="00C1304E" w:rsidRDefault="00553FDC" w:rsidP="00553FDC">
      <w:pPr>
        <w:pStyle w:val="Ruller41"/>
        <w:rPr>
          <w:rtl/>
        </w:rPr>
      </w:pPr>
    </w:p>
    <w:p w:rsidR="00553FDC" w:rsidRDefault="00553FDC" w:rsidP="00553FDC">
      <w:pPr>
        <w:pStyle w:val="Ruller4"/>
      </w:pPr>
      <w:r>
        <w:rPr>
          <w:rFonts w:hint="cs"/>
          <w:rtl/>
        </w:rPr>
        <w:t xml:space="preserve">הווה אומר: מעשי החקיקה של הכנסת באים מכוחה של הכרזת העצמאות, ואין להם מקור סמכות אחר. כפועל יוצא מכך, חוקי הכנסת אינם יכולים לחרוג מהאמור בהכרזת העצמאות. </w:t>
      </w:r>
    </w:p>
    <w:p w:rsidR="00553FDC" w:rsidRDefault="00553FDC" w:rsidP="00553FDC">
      <w:pPr>
        <w:pStyle w:val="Ruller4"/>
        <w:numPr>
          <w:ilvl w:val="0"/>
          <w:numId w:val="0"/>
        </w:numPr>
      </w:pPr>
    </w:p>
    <w:p w:rsidR="00553FDC" w:rsidRPr="005B2227" w:rsidRDefault="00553FDC" w:rsidP="00553FDC">
      <w:pPr>
        <w:pStyle w:val="Ruller4"/>
      </w:pPr>
      <w:r>
        <w:rPr>
          <w:rFonts w:hint="cs"/>
          <w:rtl/>
        </w:rPr>
        <w:t xml:space="preserve">בפרט, בבואה לחוקק חוקים, אין הכנסת מוסמכת לחרוג מעקרונות היסוד הבאים שבהכרזת העצמאות:  </w:t>
      </w:r>
    </w:p>
    <w:p w:rsidR="00553FDC" w:rsidRDefault="00553FDC" w:rsidP="00553FDC">
      <w:pPr>
        <w:pStyle w:val="Ruller4"/>
        <w:numPr>
          <w:ilvl w:val="0"/>
          <w:numId w:val="0"/>
        </w:numPr>
        <w:rPr>
          <w:rtl/>
        </w:rPr>
      </w:pPr>
    </w:p>
    <w:p w:rsidR="00553FDC" w:rsidRDefault="00553FDC" w:rsidP="00553FDC">
      <w:pPr>
        <w:pStyle w:val="Ruller5"/>
        <w:rPr>
          <w:rtl/>
        </w:rPr>
      </w:pPr>
      <w:r>
        <w:rPr>
          <w:rFonts w:hint="cs"/>
          <w:rtl/>
        </w:rPr>
        <w:t>"</w:t>
      </w:r>
      <w:r>
        <w:rPr>
          <w:rFonts w:hint="eastAsia"/>
          <w:rtl/>
        </w:rPr>
        <w:t>מדינת</w:t>
      </w:r>
      <w:r>
        <w:rPr>
          <w:rtl/>
        </w:rPr>
        <w:t xml:space="preserve"> </w:t>
      </w:r>
      <w:r>
        <w:rPr>
          <w:rFonts w:hint="eastAsia"/>
          <w:rtl/>
        </w:rPr>
        <w:t>ישראל</w:t>
      </w:r>
      <w:r>
        <w:rPr>
          <w:rtl/>
        </w:rPr>
        <w:t xml:space="preserve"> </w:t>
      </w:r>
      <w:r>
        <w:rPr>
          <w:rFonts w:hint="eastAsia"/>
          <w:rtl/>
        </w:rPr>
        <w:t>תהא</w:t>
      </w:r>
      <w:r>
        <w:rPr>
          <w:rtl/>
        </w:rPr>
        <w:t xml:space="preserve"> </w:t>
      </w:r>
      <w:r>
        <w:rPr>
          <w:rFonts w:hint="eastAsia"/>
          <w:rtl/>
        </w:rPr>
        <w:t>פתוחה</w:t>
      </w:r>
      <w:r>
        <w:rPr>
          <w:rtl/>
        </w:rPr>
        <w:t xml:space="preserve"> </w:t>
      </w:r>
      <w:r>
        <w:rPr>
          <w:rFonts w:hint="eastAsia"/>
          <w:rtl/>
        </w:rPr>
        <w:t>לעליה</w:t>
      </w:r>
      <w:r>
        <w:rPr>
          <w:rtl/>
        </w:rPr>
        <w:t xml:space="preserve"> </w:t>
      </w:r>
      <w:r>
        <w:rPr>
          <w:rFonts w:hint="eastAsia"/>
          <w:rtl/>
        </w:rPr>
        <w:t>יהודית</w:t>
      </w:r>
      <w:r>
        <w:rPr>
          <w:rtl/>
        </w:rPr>
        <w:t xml:space="preserve"> </w:t>
      </w:r>
      <w:r>
        <w:rPr>
          <w:rFonts w:hint="eastAsia"/>
          <w:rtl/>
        </w:rPr>
        <w:t>ולקיבוץ</w:t>
      </w:r>
      <w:r>
        <w:rPr>
          <w:rtl/>
        </w:rPr>
        <w:t xml:space="preserve"> </w:t>
      </w:r>
      <w:r>
        <w:rPr>
          <w:rFonts w:hint="eastAsia"/>
          <w:rtl/>
        </w:rPr>
        <w:t>גלויות</w:t>
      </w:r>
      <w:r>
        <w:rPr>
          <w:rtl/>
        </w:rPr>
        <w:t xml:space="preserve">; </w:t>
      </w:r>
      <w:r>
        <w:rPr>
          <w:rFonts w:hint="eastAsia"/>
          <w:rtl/>
        </w:rPr>
        <w:t>תשקוד</w:t>
      </w:r>
      <w:r>
        <w:rPr>
          <w:rtl/>
        </w:rPr>
        <w:t xml:space="preserve"> </w:t>
      </w:r>
      <w:r>
        <w:rPr>
          <w:rFonts w:hint="eastAsia"/>
          <w:rtl/>
        </w:rPr>
        <w:t>על</w:t>
      </w:r>
      <w:r>
        <w:rPr>
          <w:rtl/>
        </w:rPr>
        <w:t xml:space="preserve"> </w:t>
      </w:r>
      <w:r>
        <w:rPr>
          <w:rFonts w:hint="eastAsia"/>
          <w:rtl/>
        </w:rPr>
        <w:t>פיתוח</w:t>
      </w:r>
      <w:r>
        <w:rPr>
          <w:rtl/>
        </w:rPr>
        <w:t xml:space="preserve"> </w:t>
      </w:r>
      <w:r>
        <w:rPr>
          <w:rFonts w:hint="eastAsia"/>
          <w:rtl/>
        </w:rPr>
        <w:t>הארץ</w:t>
      </w:r>
      <w:r>
        <w:rPr>
          <w:rtl/>
        </w:rPr>
        <w:t xml:space="preserve"> </w:t>
      </w:r>
      <w:r>
        <w:rPr>
          <w:rFonts w:hint="eastAsia"/>
          <w:rtl/>
        </w:rPr>
        <w:t>לטובת</w:t>
      </w:r>
      <w:r>
        <w:rPr>
          <w:rtl/>
        </w:rPr>
        <w:t xml:space="preserve"> </w:t>
      </w:r>
      <w:r>
        <w:rPr>
          <w:rFonts w:hint="eastAsia"/>
          <w:rtl/>
        </w:rPr>
        <w:t>כל</w:t>
      </w:r>
      <w:r>
        <w:rPr>
          <w:rtl/>
        </w:rPr>
        <w:t xml:space="preserve"> </w:t>
      </w:r>
      <w:r>
        <w:rPr>
          <w:rFonts w:hint="eastAsia"/>
          <w:rtl/>
        </w:rPr>
        <w:t>תושביה</w:t>
      </w:r>
      <w:r>
        <w:rPr>
          <w:rtl/>
        </w:rPr>
        <w:t xml:space="preserve">; </w:t>
      </w:r>
      <w:r>
        <w:rPr>
          <w:rFonts w:hint="eastAsia"/>
          <w:rtl/>
        </w:rPr>
        <w:t>תהא</w:t>
      </w:r>
      <w:r>
        <w:rPr>
          <w:rtl/>
        </w:rPr>
        <w:t xml:space="preserve"> </w:t>
      </w:r>
      <w:r>
        <w:rPr>
          <w:rFonts w:hint="eastAsia"/>
          <w:rtl/>
        </w:rPr>
        <w:t>מושתת</w:t>
      </w:r>
      <w:r>
        <w:rPr>
          <w:rFonts w:hint="cs"/>
          <w:rtl/>
        </w:rPr>
        <w:t>ת</w:t>
      </w:r>
      <w:r>
        <w:rPr>
          <w:rtl/>
        </w:rPr>
        <w:t xml:space="preserve"> </w:t>
      </w:r>
      <w:r>
        <w:rPr>
          <w:rFonts w:hint="eastAsia"/>
          <w:rtl/>
        </w:rPr>
        <w:t>על</w:t>
      </w:r>
      <w:r>
        <w:rPr>
          <w:rtl/>
        </w:rPr>
        <w:t xml:space="preserve"> </w:t>
      </w:r>
      <w:r>
        <w:rPr>
          <w:rFonts w:hint="eastAsia"/>
          <w:rtl/>
        </w:rPr>
        <w:t>יסודות</w:t>
      </w:r>
      <w:r>
        <w:rPr>
          <w:rtl/>
        </w:rPr>
        <w:t xml:space="preserve"> </w:t>
      </w:r>
      <w:r>
        <w:rPr>
          <w:rFonts w:hint="eastAsia"/>
          <w:rtl/>
        </w:rPr>
        <w:t>החירות</w:t>
      </w:r>
      <w:r>
        <w:rPr>
          <w:rtl/>
        </w:rPr>
        <w:t xml:space="preserve">, </w:t>
      </w:r>
      <w:r>
        <w:rPr>
          <w:rFonts w:hint="eastAsia"/>
          <w:rtl/>
        </w:rPr>
        <w:t>הצדק</w:t>
      </w:r>
      <w:r>
        <w:rPr>
          <w:rtl/>
        </w:rPr>
        <w:t xml:space="preserve"> </w:t>
      </w:r>
      <w:r>
        <w:rPr>
          <w:rFonts w:hint="eastAsia"/>
          <w:rtl/>
        </w:rPr>
        <w:t>והשלום</w:t>
      </w:r>
      <w:r>
        <w:rPr>
          <w:rtl/>
        </w:rPr>
        <w:t xml:space="preserve"> </w:t>
      </w:r>
      <w:r>
        <w:rPr>
          <w:rFonts w:hint="eastAsia"/>
          <w:rtl/>
        </w:rPr>
        <w:t>לאור</w:t>
      </w:r>
      <w:r>
        <w:rPr>
          <w:rtl/>
        </w:rPr>
        <w:t xml:space="preserve"> </w:t>
      </w:r>
      <w:r>
        <w:rPr>
          <w:rFonts w:hint="eastAsia"/>
          <w:rtl/>
        </w:rPr>
        <w:t>חזונם</w:t>
      </w:r>
      <w:r>
        <w:rPr>
          <w:rtl/>
        </w:rPr>
        <w:t xml:space="preserve"> </w:t>
      </w:r>
      <w:r>
        <w:rPr>
          <w:rFonts w:hint="eastAsia"/>
          <w:rtl/>
        </w:rPr>
        <w:t>של</w:t>
      </w:r>
      <w:r>
        <w:rPr>
          <w:rtl/>
        </w:rPr>
        <w:t xml:space="preserve"> </w:t>
      </w:r>
      <w:r>
        <w:rPr>
          <w:rFonts w:hint="eastAsia"/>
          <w:rtl/>
        </w:rPr>
        <w:t>נביאי</w:t>
      </w:r>
      <w:r>
        <w:rPr>
          <w:rtl/>
        </w:rPr>
        <w:t xml:space="preserve"> </w:t>
      </w:r>
      <w:r>
        <w:rPr>
          <w:rFonts w:hint="eastAsia"/>
          <w:rtl/>
        </w:rPr>
        <w:t>ישראל</w:t>
      </w:r>
      <w:r>
        <w:rPr>
          <w:rtl/>
        </w:rPr>
        <w:t xml:space="preserve">; </w:t>
      </w:r>
      <w:r>
        <w:rPr>
          <w:rFonts w:hint="eastAsia"/>
          <w:rtl/>
        </w:rPr>
        <w:t>תקיים</w:t>
      </w:r>
      <w:r>
        <w:rPr>
          <w:rtl/>
        </w:rPr>
        <w:t xml:space="preserve"> </w:t>
      </w:r>
      <w:r>
        <w:rPr>
          <w:rFonts w:hint="eastAsia"/>
          <w:rtl/>
        </w:rPr>
        <w:t>שויון</w:t>
      </w:r>
      <w:r>
        <w:rPr>
          <w:rtl/>
        </w:rPr>
        <w:t xml:space="preserve"> </w:t>
      </w:r>
      <w:r>
        <w:rPr>
          <w:rFonts w:hint="eastAsia"/>
          <w:rtl/>
        </w:rPr>
        <w:t>זכויו</w:t>
      </w:r>
      <w:r>
        <w:rPr>
          <w:rFonts w:ascii="Arial" w:hAnsi="Arial" w:cs="Arial" w:hint="cs"/>
          <w:rtl/>
        </w:rPr>
        <w:t>​</w:t>
      </w:r>
      <w:r>
        <w:rPr>
          <w:rFonts w:ascii="FrankRuehl" w:hAnsi="FrankRuehl" w:hint="cs"/>
          <w:rtl/>
        </w:rPr>
        <w:t>ת</w:t>
      </w:r>
      <w:r>
        <w:rPr>
          <w:rtl/>
        </w:rPr>
        <w:t xml:space="preserve"> </w:t>
      </w:r>
      <w:r>
        <w:rPr>
          <w:rFonts w:hint="eastAsia"/>
          <w:rtl/>
        </w:rPr>
        <w:t>חברתי</w:t>
      </w:r>
      <w:r>
        <w:rPr>
          <w:rtl/>
        </w:rPr>
        <w:t xml:space="preserve"> </w:t>
      </w:r>
      <w:r>
        <w:rPr>
          <w:rFonts w:hint="eastAsia"/>
          <w:rtl/>
        </w:rPr>
        <w:t>ומדיני</w:t>
      </w:r>
      <w:r>
        <w:rPr>
          <w:rtl/>
        </w:rPr>
        <w:t xml:space="preserve"> </w:t>
      </w:r>
      <w:r>
        <w:rPr>
          <w:rFonts w:hint="eastAsia"/>
          <w:rtl/>
        </w:rPr>
        <w:t>גמור</w:t>
      </w:r>
      <w:r>
        <w:rPr>
          <w:rtl/>
        </w:rPr>
        <w:t xml:space="preserve"> </w:t>
      </w:r>
      <w:r>
        <w:rPr>
          <w:rFonts w:hint="eastAsia"/>
          <w:rtl/>
        </w:rPr>
        <w:t>לכל</w:t>
      </w:r>
      <w:r>
        <w:rPr>
          <w:rtl/>
        </w:rPr>
        <w:t xml:space="preserve"> </w:t>
      </w:r>
      <w:r>
        <w:rPr>
          <w:rFonts w:hint="eastAsia"/>
          <w:rtl/>
        </w:rPr>
        <w:t>אזרחיה</w:t>
      </w:r>
      <w:r>
        <w:rPr>
          <w:rtl/>
        </w:rPr>
        <w:t xml:space="preserve"> </w:t>
      </w:r>
      <w:r>
        <w:rPr>
          <w:rFonts w:hint="eastAsia"/>
          <w:rtl/>
        </w:rPr>
        <w:t>בלי</w:t>
      </w:r>
      <w:r>
        <w:rPr>
          <w:rtl/>
        </w:rPr>
        <w:t xml:space="preserve"> </w:t>
      </w:r>
      <w:r>
        <w:rPr>
          <w:rFonts w:hint="eastAsia"/>
          <w:rtl/>
        </w:rPr>
        <w:t>הבדל</w:t>
      </w:r>
      <w:r>
        <w:rPr>
          <w:rtl/>
        </w:rPr>
        <w:t xml:space="preserve"> </w:t>
      </w:r>
      <w:r>
        <w:rPr>
          <w:rFonts w:hint="eastAsia"/>
          <w:rtl/>
        </w:rPr>
        <w:t>דת</w:t>
      </w:r>
      <w:r>
        <w:rPr>
          <w:rtl/>
        </w:rPr>
        <w:t xml:space="preserve">, </w:t>
      </w:r>
      <w:r>
        <w:rPr>
          <w:rFonts w:hint="eastAsia"/>
          <w:rtl/>
        </w:rPr>
        <w:t>גזע</w:t>
      </w:r>
      <w:r>
        <w:rPr>
          <w:rtl/>
        </w:rPr>
        <w:t xml:space="preserve"> </w:t>
      </w:r>
      <w:r>
        <w:rPr>
          <w:rFonts w:hint="eastAsia"/>
          <w:rtl/>
        </w:rPr>
        <w:t>ומין</w:t>
      </w:r>
      <w:r>
        <w:rPr>
          <w:rFonts w:hint="cs"/>
          <w:rtl/>
        </w:rPr>
        <w:t xml:space="preserve"> [...]" (ראו:</w:t>
      </w:r>
      <w:r w:rsidRPr="00966EF7">
        <w:rPr>
          <w:rFonts w:asciiTheme="majorBidi" w:hAnsiTheme="majorBidi" w:cstheme="majorBidi"/>
          <w:sz w:val="24"/>
          <w:szCs w:val="32"/>
        </w:rPr>
        <w:t>https://main.knesset.gov.il/about/occasion/pages/declaration.aspx</w:t>
      </w:r>
      <w:r>
        <w:rPr>
          <w:rFonts w:hint="cs"/>
          <w:rtl/>
        </w:rPr>
        <w:t>).</w:t>
      </w:r>
    </w:p>
    <w:p w:rsidR="00553FDC" w:rsidRDefault="00553FDC" w:rsidP="00553FDC">
      <w:pPr>
        <w:pStyle w:val="Ruller5"/>
        <w:rPr>
          <w:rtl/>
        </w:rPr>
      </w:pPr>
    </w:p>
    <w:p w:rsidR="00553FDC" w:rsidRPr="00FD164A" w:rsidRDefault="00553FDC" w:rsidP="00553FDC">
      <w:pPr>
        <w:pStyle w:val="Ruller4"/>
        <w:rPr>
          <w:rFonts w:ascii="Arial TUR" w:hAnsi="Arial TUR"/>
          <w:sz w:val="22"/>
        </w:rPr>
      </w:pPr>
      <w:r w:rsidRPr="00EC79F6">
        <w:rPr>
          <w:rFonts w:hint="cs"/>
          <w:rtl/>
        </w:rPr>
        <w:t>קביעה זו מהווה חלק מההסמכה לחוקק חוקים שהכנסת קיבלה מהעם, כ</w:t>
      </w:r>
      <w:r>
        <w:rPr>
          <w:rFonts w:hint="cs"/>
          <w:rtl/>
        </w:rPr>
        <w:t xml:space="preserve">פי שעולה מהמנשר ומפקודת סדרי השלטון והמשפט המקורית. </w:t>
      </w:r>
      <w:r w:rsidRPr="00235A77">
        <w:rPr>
          <w:rFonts w:hint="cs"/>
          <w:rtl/>
        </w:rPr>
        <w:t xml:space="preserve">מקביעה זו עולה כי הפעלת סמכותה של הכנסת לחוקק חוקים לעולם כפופה לחובתה של הכנסת להבטיח, בין היתר, "חירות", "צדק" ו"שוויון זכויות חברתי ומדיני גמור" לכל </w:t>
      </w:r>
      <w:r>
        <w:rPr>
          <w:rFonts w:hint="cs"/>
          <w:rtl/>
        </w:rPr>
        <w:t>אזרחיות ו</w:t>
      </w:r>
      <w:r w:rsidRPr="00235A77">
        <w:rPr>
          <w:rFonts w:hint="cs"/>
          <w:rtl/>
        </w:rPr>
        <w:t>אזרחי המדינה באשר הם, לצד חובתה הלא</w:t>
      </w:r>
      <w:r>
        <w:rPr>
          <w:rFonts w:hint="cs"/>
          <w:rtl/>
        </w:rPr>
        <w:t>-</w:t>
      </w:r>
      <w:r w:rsidRPr="00235A77">
        <w:rPr>
          <w:rFonts w:hint="cs"/>
          <w:rtl/>
        </w:rPr>
        <w:t xml:space="preserve">פחות חשובה לקיים בית לאומי-יהודי במדינת ישראל </w:t>
      </w:r>
      <w:r>
        <w:rPr>
          <w:rFonts w:hint="cs"/>
          <w:rtl/>
        </w:rPr>
        <w:t xml:space="preserve">("מדינה יהודית") </w:t>
      </w:r>
      <w:r w:rsidRPr="00235A77">
        <w:rPr>
          <w:rFonts w:hint="cs"/>
          <w:rtl/>
        </w:rPr>
        <w:t xml:space="preserve">בהתאם למסורת הדתית-לאומית </w:t>
      </w:r>
      <w:r>
        <w:rPr>
          <w:rFonts w:hint="cs"/>
          <w:rtl/>
        </w:rPr>
        <w:t xml:space="preserve">הטבועה בנו </w:t>
      </w:r>
      <w:r w:rsidRPr="00235A77">
        <w:rPr>
          <w:rFonts w:hint="cs"/>
          <w:rtl/>
        </w:rPr>
        <w:t>("חזונם של נביאי ישראל")</w:t>
      </w:r>
      <w:r>
        <w:rPr>
          <w:rFonts w:hint="cs"/>
          <w:rtl/>
        </w:rPr>
        <w:t xml:space="preserve">. </w:t>
      </w:r>
    </w:p>
    <w:p w:rsidR="00553FDC" w:rsidRPr="00FD164A" w:rsidRDefault="00553FDC" w:rsidP="00553FDC">
      <w:pPr>
        <w:pStyle w:val="Ruller4"/>
        <w:numPr>
          <w:ilvl w:val="0"/>
          <w:numId w:val="0"/>
        </w:numPr>
        <w:rPr>
          <w:rFonts w:ascii="Arial TUR" w:hAnsi="Arial TUR"/>
          <w:sz w:val="22"/>
        </w:rPr>
      </w:pPr>
    </w:p>
    <w:p w:rsidR="00553FDC" w:rsidRPr="006314F8" w:rsidRDefault="00553FDC" w:rsidP="00553FDC">
      <w:pPr>
        <w:pStyle w:val="Ruller4"/>
        <w:rPr>
          <w:rFonts w:ascii="Arial TUR" w:hAnsi="Arial TUR"/>
          <w:sz w:val="22"/>
          <w:rtl/>
        </w:rPr>
      </w:pPr>
      <w:r>
        <w:rPr>
          <w:rFonts w:hint="cs"/>
          <w:rtl/>
        </w:rPr>
        <w:t>אין זה מקרה שסעיף 1(ב) לחוק הכנסת, התשנ"ד-1994, קובע כי בכל כנסת חדשה, בתום הצהרות האמונים של חבריה מפי יושב ראש הכנסת, "</w:t>
      </w:r>
      <w:r w:rsidRPr="008E6E5C">
        <w:rPr>
          <w:rFonts w:ascii="Arial TUR" w:hAnsi="Arial TUR" w:hint="eastAsia"/>
          <w:sz w:val="22"/>
          <w:rtl/>
        </w:rPr>
        <w:t>ייקראו</w:t>
      </w:r>
      <w:r w:rsidRPr="008E6E5C">
        <w:rPr>
          <w:rFonts w:ascii="Arial TUR" w:hAnsi="Arial TUR"/>
          <w:sz w:val="22"/>
          <w:rtl/>
        </w:rPr>
        <w:t xml:space="preserve"> </w:t>
      </w:r>
      <w:r w:rsidRPr="008E6E5C">
        <w:rPr>
          <w:rFonts w:ascii="Arial TUR" w:hAnsi="Arial TUR" w:hint="eastAsia"/>
          <w:sz w:val="22"/>
          <w:rtl/>
        </w:rPr>
        <w:t>בפני</w:t>
      </w:r>
      <w:r w:rsidRPr="008E6E5C">
        <w:rPr>
          <w:rFonts w:ascii="Arial TUR" w:hAnsi="Arial TUR"/>
          <w:sz w:val="22"/>
          <w:rtl/>
        </w:rPr>
        <w:t xml:space="preserve"> </w:t>
      </w:r>
      <w:r w:rsidRPr="008E6E5C">
        <w:rPr>
          <w:rFonts w:ascii="Arial TUR" w:hAnsi="Arial TUR" w:hint="eastAsia"/>
          <w:sz w:val="22"/>
          <w:rtl/>
        </w:rPr>
        <w:t>המליאה</w:t>
      </w:r>
      <w:r w:rsidRPr="008E6E5C">
        <w:rPr>
          <w:rFonts w:ascii="Arial TUR" w:hAnsi="Arial TUR"/>
          <w:sz w:val="22"/>
          <w:rtl/>
        </w:rPr>
        <w:t xml:space="preserve"> </w:t>
      </w:r>
      <w:r w:rsidRPr="008E6E5C">
        <w:rPr>
          <w:rFonts w:ascii="Arial TUR" w:hAnsi="Arial TUR" w:hint="eastAsia"/>
          <w:sz w:val="22"/>
          <w:rtl/>
        </w:rPr>
        <w:t>מזמור</w:t>
      </w:r>
      <w:r w:rsidRPr="008E6E5C">
        <w:rPr>
          <w:rFonts w:ascii="Arial TUR" w:hAnsi="Arial TUR"/>
          <w:sz w:val="22"/>
          <w:rtl/>
        </w:rPr>
        <w:t xml:space="preserve"> </w:t>
      </w:r>
      <w:r w:rsidRPr="008E6E5C">
        <w:rPr>
          <w:rFonts w:ascii="Arial TUR" w:hAnsi="Arial TUR" w:hint="eastAsia"/>
          <w:sz w:val="22"/>
          <w:rtl/>
        </w:rPr>
        <w:t>קכ</w:t>
      </w:r>
      <w:r w:rsidRPr="008E6E5C">
        <w:rPr>
          <w:rFonts w:ascii="Arial TUR" w:hAnsi="Arial TUR"/>
          <w:sz w:val="22"/>
          <w:rtl/>
        </w:rPr>
        <w:t>"</w:t>
      </w:r>
      <w:r w:rsidRPr="008E6E5C">
        <w:rPr>
          <w:rFonts w:ascii="Arial TUR" w:hAnsi="Arial TUR" w:hint="eastAsia"/>
          <w:sz w:val="22"/>
          <w:rtl/>
        </w:rPr>
        <w:t>ב</w:t>
      </w:r>
      <w:r w:rsidRPr="008E6E5C">
        <w:rPr>
          <w:rFonts w:ascii="Arial TUR" w:hAnsi="Arial TUR"/>
          <w:sz w:val="22"/>
          <w:rtl/>
        </w:rPr>
        <w:t xml:space="preserve"> </w:t>
      </w:r>
      <w:r w:rsidRPr="008E6E5C">
        <w:rPr>
          <w:rFonts w:ascii="Arial TUR" w:hAnsi="Arial TUR" w:hint="eastAsia"/>
          <w:sz w:val="22"/>
          <w:rtl/>
        </w:rPr>
        <w:t>בתהלים</w:t>
      </w:r>
      <w:r w:rsidRPr="008E6E5C">
        <w:rPr>
          <w:rFonts w:ascii="Arial TUR" w:hAnsi="Arial TUR"/>
          <w:sz w:val="22"/>
          <w:rtl/>
        </w:rPr>
        <w:t xml:space="preserve"> </w:t>
      </w:r>
      <w:r w:rsidRPr="008E6E5C">
        <w:rPr>
          <w:rFonts w:ascii="Arial TUR" w:hAnsi="Arial TUR" w:hint="eastAsia"/>
          <w:sz w:val="22"/>
          <w:rtl/>
        </w:rPr>
        <w:t>וקטעים</w:t>
      </w:r>
      <w:r w:rsidRPr="008E6E5C">
        <w:rPr>
          <w:rFonts w:ascii="Arial TUR" w:hAnsi="Arial TUR"/>
          <w:sz w:val="22"/>
          <w:rtl/>
        </w:rPr>
        <w:t xml:space="preserve"> </w:t>
      </w:r>
      <w:r w:rsidRPr="008E6E5C">
        <w:rPr>
          <w:rFonts w:ascii="Arial TUR" w:hAnsi="Arial TUR" w:hint="eastAsia"/>
          <w:sz w:val="22"/>
          <w:rtl/>
        </w:rPr>
        <w:t>מתוך</w:t>
      </w:r>
      <w:r w:rsidRPr="008E6E5C">
        <w:rPr>
          <w:rFonts w:ascii="Arial TUR" w:hAnsi="Arial TUR"/>
          <w:sz w:val="22"/>
          <w:rtl/>
        </w:rPr>
        <w:t xml:space="preserve"> </w:t>
      </w:r>
      <w:r w:rsidRPr="008E6E5C">
        <w:rPr>
          <w:rFonts w:ascii="Arial TUR" w:hAnsi="Arial TUR" w:hint="eastAsia"/>
          <w:sz w:val="22"/>
          <w:rtl/>
        </w:rPr>
        <w:t>ההכרזה</w:t>
      </w:r>
      <w:r w:rsidRPr="008E6E5C">
        <w:rPr>
          <w:rFonts w:ascii="Arial TUR" w:hAnsi="Arial TUR"/>
          <w:sz w:val="22"/>
          <w:rtl/>
        </w:rPr>
        <w:t xml:space="preserve"> </w:t>
      </w:r>
      <w:r w:rsidRPr="008E6E5C">
        <w:rPr>
          <w:rFonts w:ascii="Arial TUR" w:hAnsi="Arial TUR" w:hint="eastAsia"/>
          <w:sz w:val="22"/>
          <w:rtl/>
        </w:rPr>
        <w:t>על</w:t>
      </w:r>
      <w:r w:rsidRPr="008E6E5C">
        <w:rPr>
          <w:rFonts w:ascii="Arial TUR" w:hAnsi="Arial TUR"/>
          <w:sz w:val="22"/>
          <w:rtl/>
        </w:rPr>
        <w:t xml:space="preserve"> </w:t>
      </w:r>
      <w:r w:rsidRPr="008E6E5C">
        <w:rPr>
          <w:rFonts w:ascii="Arial TUR" w:hAnsi="Arial TUR" w:hint="eastAsia"/>
          <w:sz w:val="22"/>
          <w:rtl/>
        </w:rPr>
        <w:t>הקמת</w:t>
      </w:r>
      <w:r w:rsidRPr="008E6E5C">
        <w:rPr>
          <w:rFonts w:ascii="Arial TUR" w:hAnsi="Arial TUR"/>
          <w:sz w:val="22"/>
          <w:rtl/>
        </w:rPr>
        <w:t xml:space="preserve"> </w:t>
      </w:r>
      <w:r w:rsidRPr="008E6E5C">
        <w:rPr>
          <w:rFonts w:ascii="Arial TUR" w:hAnsi="Arial TUR" w:hint="eastAsia"/>
          <w:sz w:val="22"/>
          <w:rtl/>
        </w:rPr>
        <w:t>מדינת</w:t>
      </w:r>
      <w:r w:rsidRPr="008E6E5C">
        <w:rPr>
          <w:rFonts w:ascii="Arial TUR" w:hAnsi="Arial TUR"/>
          <w:sz w:val="22"/>
          <w:rtl/>
        </w:rPr>
        <w:t xml:space="preserve"> </w:t>
      </w:r>
      <w:r w:rsidRPr="008E6E5C">
        <w:rPr>
          <w:rFonts w:ascii="Arial TUR" w:hAnsi="Arial TUR" w:hint="eastAsia"/>
          <w:sz w:val="22"/>
          <w:rtl/>
        </w:rPr>
        <w:t>ישראל</w:t>
      </w:r>
      <w:r w:rsidRPr="008E6E5C">
        <w:rPr>
          <w:rFonts w:ascii="Arial TUR" w:hAnsi="Arial TUR"/>
          <w:sz w:val="22"/>
          <w:rtl/>
        </w:rPr>
        <w:t xml:space="preserve">, </w:t>
      </w:r>
      <w:r w:rsidRPr="008E6E5C">
        <w:rPr>
          <w:rFonts w:ascii="Arial TUR" w:hAnsi="Arial TUR" w:hint="eastAsia"/>
          <w:sz w:val="22"/>
          <w:rtl/>
        </w:rPr>
        <w:t>המופיעים</w:t>
      </w:r>
      <w:r w:rsidRPr="008E6E5C">
        <w:rPr>
          <w:rFonts w:ascii="Arial TUR" w:hAnsi="Arial TUR"/>
          <w:sz w:val="22"/>
          <w:rtl/>
        </w:rPr>
        <w:t xml:space="preserve"> </w:t>
      </w:r>
      <w:r w:rsidRPr="008E6E5C">
        <w:rPr>
          <w:rFonts w:ascii="Arial TUR" w:hAnsi="Arial TUR" w:hint="eastAsia"/>
          <w:sz w:val="22"/>
          <w:rtl/>
        </w:rPr>
        <w:t>בתוספת</w:t>
      </w:r>
      <w:r>
        <w:rPr>
          <w:rFonts w:ascii="Arial TUR" w:hAnsi="Arial TUR" w:hint="cs"/>
          <w:sz w:val="22"/>
          <w:rtl/>
        </w:rPr>
        <w:t xml:space="preserve">"; כאשר התוספת לחוק חוזרת על האמור בהכרזת העצמאות ומבטיחה, בין היתר, כי </w:t>
      </w:r>
      <w:r>
        <w:rPr>
          <w:rFonts w:hint="cs"/>
          <w:rtl/>
        </w:rPr>
        <w:t>"</w:t>
      </w:r>
      <w:r>
        <w:rPr>
          <w:rFonts w:hint="eastAsia"/>
          <w:rtl/>
        </w:rPr>
        <w:t>מדינת</w:t>
      </w:r>
      <w:r>
        <w:rPr>
          <w:rtl/>
        </w:rPr>
        <w:t xml:space="preserve"> </w:t>
      </w:r>
      <w:r>
        <w:rPr>
          <w:rFonts w:hint="eastAsia"/>
          <w:rtl/>
        </w:rPr>
        <w:t>ישראל</w:t>
      </w:r>
      <w:r>
        <w:rPr>
          <w:rtl/>
        </w:rPr>
        <w:t xml:space="preserve"> </w:t>
      </w:r>
      <w:r>
        <w:rPr>
          <w:rFonts w:hint="eastAsia"/>
          <w:rtl/>
        </w:rPr>
        <w:t>תהא</w:t>
      </w:r>
      <w:r>
        <w:rPr>
          <w:rtl/>
        </w:rPr>
        <w:t xml:space="preserve"> </w:t>
      </w:r>
      <w:r>
        <w:rPr>
          <w:rFonts w:hint="eastAsia"/>
          <w:rtl/>
        </w:rPr>
        <w:t>פתוחה</w:t>
      </w:r>
      <w:r>
        <w:rPr>
          <w:rtl/>
        </w:rPr>
        <w:t xml:space="preserve"> </w:t>
      </w:r>
      <w:r>
        <w:rPr>
          <w:rFonts w:hint="eastAsia"/>
          <w:rtl/>
        </w:rPr>
        <w:t>לעליה</w:t>
      </w:r>
      <w:r>
        <w:rPr>
          <w:rtl/>
        </w:rPr>
        <w:t xml:space="preserve"> </w:t>
      </w:r>
      <w:r>
        <w:rPr>
          <w:rFonts w:hint="eastAsia"/>
          <w:rtl/>
        </w:rPr>
        <w:t>יהודית</w:t>
      </w:r>
      <w:r>
        <w:rPr>
          <w:rtl/>
        </w:rPr>
        <w:t xml:space="preserve"> </w:t>
      </w:r>
      <w:r>
        <w:rPr>
          <w:rFonts w:hint="eastAsia"/>
          <w:rtl/>
        </w:rPr>
        <w:t>ולקיבוץ</w:t>
      </w:r>
      <w:r>
        <w:rPr>
          <w:rtl/>
        </w:rPr>
        <w:t xml:space="preserve"> </w:t>
      </w:r>
      <w:r>
        <w:rPr>
          <w:rFonts w:hint="eastAsia"/>
          <w:rtl/>
        </w:rPr>
        <w:t>גלויות</w:t>
      </w:r>
      <w:r>
        <w:rPr>
          <w:rtl/>
        </w:rPr>
        <w:t xml:space="preserve">; </w:t>
      </w:r>
      <w:r>
        <w:rPr>
          <w:rFonts w:hint="eastAsia"/>
          <w:rtl/>
        </w:rPr>
        <w:t>תשקוד</w:t>
      </w:r>
      <w:r>
        <w:rPr>
          <w:rtl/>
        </w:rPr>
        <w:t xml:space="preserve"> </w:t>
      </w:r>
      <w:r>
        <w:rPr>
          <w:rFonts w:hint="eastAsia"/>
          <w:rtl/>
        </w:rPr>
        <w:t>על</w:t>
      </w:r>
      <w:r>
        <w:rPr>
          <w:rtl/>
        </w:rPr>
        <w:t xml:space="preserve"> </w:t>
      </w:r>
      <w:r>
        <w:rPr>
          <w:rFonts w:hint="eastAsia"/>
          <w:rtl/>
        </w:rPr>
        <w:t>פיתוח</w:t>
      </w:r>
      <w:r>
        <w:rPr>
          <w:rtl/>
        </w:rPr>
        <w:t xml:space="preserve"> </w:t>
      </w:r>
      <w:r>
        <w:rPr>
          <w:rFonts w:hint="eastAsia"/>
          <w:rtl/>
        </w:rPr>
        <w:t>הארץ</w:t>
      </w:r>
      <w:r>
        <w:rPr>
          <w:rtl/>
        </w:rPr>
        <w:t xml:space="preserve"> </w:t>
      </w:r>
      <w:r>
        <w:rPr>
          <w:rFonts w:hint="eastAsia"/>
          <w:rtl/>
        </w:rPr>
        <w:t>לטובת</w:t>
      </w:r>
      <w:r>
        <w:rPr>
          <w:rtl/>
        </w:rPr>
        <w:t xml:space="preserve"> </w:t>
      </w:r>
      <w:r>
        <w:rPr>
          <w:rFonts w:hint="eastAsia"/>
          <w:rtl/>
        </w:rPr>
        <w:t>כל</w:t>
      </w:r>
      <w:r>
        <w:rPr>
          <w:rtl/>
        </w:rPr>
        <w:t xml:space="preserve"> </w:t>
      </w:r>
      <w:r>
        <w:rPr>
          <w:rFonts w:hint="eastAsia"/>
          <w:rtl/>
        </w:rPr>
        <w:t>תושביה</w:t>
      </w:r>
      <w:r>
        <w:rPr>
          <w:rtl/>
        </w:rPr>
        <w:t xml:space="preserve">; </w:t>
      </w:r>
      <w:r>
        <w:rPr>
          <w:rFonts w:hint="eastAsia"/>
          <w:rtl/>
        </w:rPr>
        <w:t>תהא</w:t>
      </w:r>
      <w:r>
        <w:rPr>
          <w:rtl/>
        </w:rPr>
        <w:t xml:space="preserve"> </w:t>
      </w:r>
      <w:r>
        <w:rPr>
          <w:rFonts w:hint="eastAsia"/>
          <w:rtl/>
        </w:rPr>
        <w:t>מושתת</w:t>
      </w:r>
      <w:r>
        <w:rPr>
          <w:rFonts w:hint="cs"/>
          <w:rtl/>
        </w:rPr>
        <w:t>ת</w:t>
      </w:r>
      <w:r>
        <w:rPr>
          <w:rtl/>
        </w:rPr>
        <w:t xml:space="preserve"> </w:t>
      </w:r>
      <w:r>
        <w:rPr>
          <w:rFonts w:hint="eastAsia"/>
          <w:rtl/>
        </w:rPr>
        <w:t>על</w:t>
      </w:r>
      <w:r>
        <w:rPr>
          <w:rtl/>
        </w:rPr>
        <w:t xml:space="preserve"> </w:t>
      </w:r>
      <w:r>
        <w:rPr>
          <w:rFonts w:hint="eastAsia"/>
          <w:rtl/>
        </w:rPr>
        <w:t>יסודות</w:t>
      </w:r>
      <w:r>
        <w:rPr>
          <w:rtl/>
        </w:rPr>
        <w:t xml:space="preserve"> </w:t>
      </w:r>
      <w:r>
        <w:rPr>
          <w:rFonts w:hint="eastAsia"/>
          <w:rtl/>
        </w:rPr>
        <w:t>החירות</w:t>
      </w:r>
      <w:r>
        <w:rPr>
          <w:rtl/>
        </w:rPr>
        <w:t xml:space="preserve">, </w:t>
      </w:r>
      <w:r>
        <w:rPr>
          <w:rFonts w:hint="eastAsia"/>
          <w:rtl/>
        </w:rPr>
        <w:t>הצדק</w:t>
      </w:r>
      <w:r>
        <w:rPr>
          <w:rtl/>
        </w:rPr>
        <w:t xml:space="preserve"> </w:t>
      </w:r>
      <w:r>
        <w:rPr>
          <w:rFonts w:hint="eastAsia"/>
          <w:rtl/>
        </w:rPr>
        <w:t>והשלום</w:t>
      </w:r>
      <w:r>
        <w:rPr>
          <w:rtl/>
        </w:rPr>
        <w:t xml:space="preserve"> </w:t>
      </w:r>
      <w:r>
        <w:rPr>
          <w:rFonts w:hint="eastAsia"/>
          <w:rtl/>
        </w:rPr>
        <w:t>לאור</w:t>
      </w:r>
      <w:r>
        <w:rPr>
          <w:rtl/>
        </w:rPr>
        <w:t xml:space="preserve"> </w:t>
      </w:r>
      <w:r>
        <w:rPr>
          <w:rFonts w:hint="eastAsia"/>
          <w:rtl/>
        </w:rPr>
        <w:t>חזונם</w:t>
      </w:r>
      <w:r>
        <w:rPr>
          <w:rtl/>
        </w:rPr>
        <w:t xml:space="preserve"> </w:t>
      </w:r>
      <w:r>
        <w:rPr>
          <w:rFonts w:hint="eastAsia"/>
          <w:rtl/>
        </w:rPr>
        <w:t>של</w:t>
      </w:r>
      <w:r>
        <w:rPr>
          <w:rtl/>
        </w:rPr>
        <w:t xml:space="preserve"> </w:t>
      </w:r>
      <w:r>
        <w:rPr>
          <w:rFonts w:hint="eastAsia"/>
          <w:rtl/>
        </w:rPr>
        <w:t>נביאי</w:t>
      </w:r>
      <w:r>
        <w:rPr>
          <w:rtl/>
        </w:rPr>
        <w:t xml:space="preserve"> </w:t>
      </w:r>
      <w:r>
        <w:rPr>
          <w:rFonts w:hint="eastAsia"/>
          <w:rtl/>
        </w:rPr>
        <w:t>ישראל</w:t>
      </w:r>
      <w:r>
        <w:rPr>
          <w:rtl/>
        </w:rPr>
        <w:t xml:space="preserve">; </w:t>
      </w:r>
      <w:r>
        <w:rPr>
          <w:rFonts w:hint="eastAsia"/>
          <w:rtl/>
        </w:rPr>
        <w:t>תקיים</w:t>
      </w:r>
      <w:r>
        <w:rPr>
          <w:rtl/>
        </w:rPr>
        <w:t xml:space="preserve"> </w:t>
      </w:r>
      <w:r>
        <w:rPr>
          <w:rFonts w:hint="eastAsia"/>
          <w:rtl/>
        </w:rPr>
        <w:t>ש</w:t>
      </w:r>
      <w:r>
        <w:rPr>
          <w:rFonts w:hint="cs"/>
          <w:rtl/>
        </w:rPr>
        <w:t>ו</w:t>
      </w:r>
      <w:r>
        <w:rPr>
          <w:rFonts w:hint="eastAsia"/>
          <w:rtl/>
        </w:rPr>
        <w:t>ויון</w:t>
      </w:r>
      <w:r>
        <w:rPr>
          <w:rtl/>
        </w:rPr>
        <w:t xml:space="preserve"> </w:t>
      </w:r>
      <w:r>
        <w:rPr>
          <w:rFonts w:hint="cs"/>
          <w:rtl/>
        </w:rPr>
        <w:t>זכויו</w:t>
      </w:r>
      <w:r>
        <w:rPr>
          <w:rFonts w:hint="eastAsia"/>
          <w:rtl/>
        </w:rPr>
        <w:t>ת</w:t>
      </w:r>
      <w:r>
        <w:rPr>
          <w:rFonts w:hint="cs"/>
          <w:rtl/>
        </w:rPr>
        <w:t xml:space="preserve"> </w:t>
      </w:r>
      <w:r>
        <w:rPr>
          <w:rFonts w:hint="eastAsia"/>
          <w:rtl/>
        </w:rPr>
        <w:t>חברתי</w:t>
      </w:r>
      <w:r>
        <w:rPr>
          <w:rtl/>
        </w:rPr>
        <w:t xml:space="preserve"> </w:t>
      </w:r>
      <w:r>
        <w:rPr>
          <w:rFonts w:hint="eastAsia"/>
          <w:rtl/>
        </w:rPr>
        <w:t>ומדיני</w:t>
      </w:r>
      <w:r>
        <w:rPr>
          <w:rtl/>
        </w:rPr>
        <w:t xml:space="preserve"> </w:t>
      </w:r>
      <w:r>
        <w:rPr>
          <w:rFonts w:hint="eastAsia"/>
          <w:rtl/>
        </w:rPr>
        <w:t>גמור</w:t>
      </w:r>
      <w:r>
        <w:rPr>
          <w:rtl/>
        </w:rPr>
        <w:t xml:space="preserve"> </w:t>
      </w:r>
      <w:r>
        <w:rPr>
          <w:rFonts w:hint="eastAsia"/>
          <w:rtl/>
        </w:rPr>
        <w:t>לכל</w:t>
      </w:r>
      <w:r>
        <w:rPr>
          <w:rtl/>
        </w:rPr>
        <w:t xml:space="preserve"> </w:t>
      </w:r>
      <w:r>
        <w:rPr>
          <w:rFonts w:hint="eastAsia"/>
          <w:rtl/>
        </w:rPr>
        <w:t>אזרחיה</w:t>
      </w:r>
      <w:r>
        <w:rPr>
          <w:rtl/>
        </w:rPr>
        <w:t xml:space="preserve"> </w:t>
      </w:r>
      <w:r>
        <w:rPr>
          <w:rFonts w:hint="eastAsia"/>
          <w:rtl/>
        </w:rPr>
        <w:t>בלי</w:t>
      </w:r>
      <w:r>
        <w:rPr>
          <w:rtl/>
        </w:rPr>
        <w:t xml:space="preserve"> </w:t>
      </w:r>
      <w:r>
        <w:rPr>
          <w:rFonts w:hint="eastAsia"/>
          <w:rtl/>
        </w:rPr>
        <w:t>הבדל</w:t>
      </w:r>
      <w:r>
        <w:rPr>
          <w:rtl/>
        </w:rPr>
        <w:t xml:space="preserve"> </w:t>
      </w:r>
      <w:r>
        <w:rPr>
          <w:rFonts w:hint="eastAsia"/>
          <w:rtl/>
        </w:rPr>
        <w:t>דת</w:t>
      </w:r>
      <w:r>
        <w:rPr>
          <w:rtl/>
        </w:rPr>
        <w:t xml:space="preserve">, </w:t>
      </w:r>
      <w:r>
        <w:rPr>
          <w:rFonts w:hint="eastAsia"/>
          <w:rtl/>
        </w:rPr>
        <w:t>גזע</w:t>
      </w:r>
      <w:r>
        <w:rPr>
          <w:rtl/>
        </w:rPr>
        <w:t xml:space="preserve"> </w:t>
      </w:r>
      <w:r>
        <w:rPr>
          <w:rFonts w:hint="eastAsia"/>
          <w:rtl/>
        </w:rPr>
        <w:t>ומין</w:t>
      </w:r>
      <w:r w:rsidRPr="008C43A1">
        <w:rPr>
          <w:rFonts w:ascii="Arial TUR" w:hAnsi="Arial TUR" w:hint="cs"/>
          <w:sz w:val="22"/>
          <w:rtl/>
        </w:rPr>
        <w:t xml:space="preserve">". כמו כן, אין זה מקרה </w:t>
      </w:r>
      <w:r>
        <w:rPr>
          <w:rFonts w:ascii="Arial TUR" w:hAnsi="Arial TUR" w:hint="cs"/>
          <w:sz w:val="22"/>
          <w:rtl/>
        </w:rPr>
        <w:t xml:space="preserve">שהסעיף הראשון של חוק יסוד: כבוד האדם וחירותו ושל חוק יסוד: חופש העיסוק </w:t>
      </w:r>
      <w:r>
        <w:rPr>
          <w:rFonts w:ascii="Arial TUR" w:hAnsi="Arial TUR"/>
          <w:sz w:val="22"/>
          <w:rtl/>
        </w:rPr>
        <w:t>–</w:t>
      </w:r>
      <w:r>
        <w:rPr>
          <w:rFonts w:ascii="Arial TUR" w:hAnsi="Arial TUR" w:hint="cs"/>
          <w:sz w:val="22"/>
          <w:rtl/>
        </w:rPr>
        <w:t xml:space="preserve"> חוקים שכוננו כדי להגביל את סמכות החקיקה הכללית של הכנסת </w:t>
      </w:r>
      <w:r>
        <w:rPr>
          <w:rFonts w:ascii="Arial TUR" w:hAnsi="Arial TUR"/>
          <w:sz w:val="22"/>
          <w:rtl/>
        </w:rPr>
        <w:t>–</w:t>
      </w:r>
      <w:r>
        <w:rPr>
          <w:rFonts w:ascii="Arial TUR" w:hAnsi="Arial TUR" w:hint="cs"/>
          <w:sz w:val="22"/>
          <w:rtl/>
        </w:rPr>
        <w:t xml:space="preserve"> </w:t>
      </w:r>
      <w:r w:rsidRPr="006314F8">
        <w:rPr>
          <w:rFonts w:ascii="Arial TUR" w:hAnsi="Arial TUR" w:hint="cs"/>
          <w:sz w:val="22"/>
          <w:rtl/>
        </w:rPr>
        <w:t>קובע כי "</w:t>
      </w:r>
      <w:r w:rsidRPr="006314F8">
        <w:rPr>
          <w:rFonts w:hint="eastAsia"/>
          <w:rtl/>
        </w:rPr>
        <w:t>זכויות</w:t>
      </w:r>
      <w:r w:rsidRPr="006314F8">
        <w:rPr>
          <w:rtl/>
        </w:rPr>
        <w:t xml:space="preserve"> </w:t>
      </w:r>
      <w:r w:rsidRPr="006314F8">
        <w:rPr>
          <w:rFonts w:hint="eastAsia"/>
          <w:rtl/>
        </w:rPr>
        <w:t>היסוד</w:t>
      </w:r>
      <w:r w:rsidRPr="006314F8">
        <w:rPr>
          <w:rtl/>
        </w:rPr>
        <w:t xml:space="preserve"> </w:t>
      </w:r>
      <w:r w:rsidRPr="006314F8">
        <w:rPr>
          <w:rFonts w:hint="eastAsia"/>
          <w:rtl/>
        </w:rPr>
        <w:t>של</w:t>
      </w:r>
      <w:r w:rsidRPr="006314F8">
        <w:rPr>
          <w:rtl/>
        </w:rPr>
        <w:t xml:space="preserve"> </w:t>
      </w:r>
      <w:r w:rsidRPr="006314F8">
        <w:rPr>
          <w:rFonts w:hint="eastAsia"/>
          <w:rtl/>
        </w:rPr>
        <w:t>האדם</w:t>
      </w:r>
      <w:r w:rsidRPr="006314F8">
        <w:rPr>
          <w:rtl/>
        </w:rPr>
        <w:t xml:space="preserve"> </w:t>
      </w:r>
      <w:r w:rsidRPr="006314F8">
        <w:rPr>
          <w:rFonts w:hint="eastAsia"/>
          <w:rtl/>
        </w:rPr>
        <w:t>בישראל</w:t>
      </w:r>
      <w:r w:rsidRPr="006314F8">
        <w:rPr>
          <w:rtl/>
        </w:rPr>
        <w:t xml:space="preserve"> </w:t>
      </w:r>
      <w:r w:rsidRPr="006314F8">
        <w:rPr>
          <w:rFonts w:hint="eastAsia"/>
          <w:rtl/>
        </w:rPr>
        <w:t>מושתתות</w:t>
      </w:r>
      <w:r w:rsidRPr="006314F8">
        <w:rPr>
          <w:rtl/>
        </w:rPr>
        <w:t xml:space="preserve"> </w:t>
      </w:r>
      <w:r w:rsidRPr="006314F8">
        <w:rPr>
          <w:rFonts w:hint="eastAsia"/>
          <w:rtl/>
        </w:rPr>
        <w:t>על</w:t>
      </w:r>
      <w:r w:rsidRPr="006314F8">
        <w:rPr>
          <w:rtl/>
        </w:rPr>
        <w:t xml:space="preserve"> </w:t>
      </w:r>
      <w:r w:rsidRPr="006314F8">
        <w:rPr>
          <w:rFonts w:hint="eastAsia"/>
          <w:rtl/>
        </w:rPr>
        <w:t>ההכרה</w:t>
      </w:r>
      <w:r w:rsidRPr="006314F8">
        <w:rPr>
          <w:rtl/>
        </w:rPr>
        <w:t xml:space="preserve"> </w:t>
      </w:r>
      <w:r w:rsidRPr="006314F8">
        <w:rPr>
          <w:rFonts w:hint="eastAsia"/>
          <w:rtl/>
        </w:rPr>
        <w:t>בערך</w:t>
      </w:r>
      <w:r w:rsidRPr="006314F8">
        <w:rPr>
          <w:rtl/>
        </w:rPr>
        <w:t xml:space="preserve"> </w:t>
      </w:r>
      <w:r w:rsidRPr="006314F8">
        <w:rPr>
          <w:rFonts w:hint="eastAsia"/>
          <w:rtl/>
        </w:rPr>
        <w:t>האדם</w:t>
      </w:r>
      <w:r w:rsidRPr="006314F8">
        <w:rPr>
          <w:rtl/>
        </w:rPr>
        <w:t xml:space="preserve">, </w:t>
      </w:r>
      <w:r w:rsidRPr="006314F8">
        <w:rPr>
          <w:rFonts w:hint="eastAsia"/>
          <w:rtl/>
        </w:rPr>
        <w:t>בקדושת</w:t>
      </w:r>
      <w:r w:rsidRPr="006314F8">
        <w:rPr>
          <w:rtl/>
        </w:rPr>
        <w:t xml:space="preserve"> </w:t>
      </w:r>
      <w:r w:rsidRPr="006314F8">
        <w:rPr>
          <w:rFonts w:hint="eastAsia"/>
          <w:rtl/>
        </w:rPr>
        <w:t>חייו</w:t>
      </w:r>
      <w:r w:rsidRPr="006314F8">
        <w:rPr>
          <w:rtl/>
        </w:rPr>
        <w:t xml:space="preserve"> </w:t>
      </w:r>
      <w:r w:rsidRPr="006314F8">
        <w:rPr>
          <w:rFonts w:hint="eastAsia"/>
          <w:rtl/>
        </w:rPr>
        <w:t>ובהיותו</w:t>
      </w:r>
      <w:r w:rsidRPr="006314F8">
        <w:rPr>
          <w:rtl/>
        </w:rPr>
        <w:t xml:space="preserve"> </w:t>
      </w:r>
      <w:r w:rsidRPr="006314F8">
        <w:rPr>
          <w:rFonts w:hint="eastAsia"/>
          <w:rtl/>
        </w:rPr>
        <w:t>בן</w:t>
      </w:r>
      <w:r w:rsidRPr="006314F8">
        <w:rPr>
          <w:rtl/>
        </w:rPr>
        <w:t>-</w:t>
      </w:r>
      <w:r w:rsidRPr="006314F8">
        <w:rPr>
          <w:rFonts w:hint="eastAsia"/>
          <w:rtl/>
        </w:rPr>
        <w:t>חורין</w:t>
      </w:r>
      <w:r w:rsidRPr="006314F8">
        <w:rPr>
          <w:rtl/>
        </w:rPr>
        <w:t xml:space="preserve">, </w:t>
      </w:r>
      <w:r w:rsidRPr="006314F8">
        <w:rPr>
          <w:rFonts w:hint="eastAsia"/>
          <w:rtl/>
        </w:rPr>
        <w:t>והן</w:t>
      </w:r>
      <w:r w:rsidRPr="006314F8">
        <w:rPr>
          <w:rtl/>
        </w:rPr>
        <w:t xml:space="preserve"> </w:t>
      </w:r>
      <w:r w:rsidRPr="006314F8">
        <w:rPr>
          <w:rFonts w:hint="eastAsia"/>
          <w:rtl/>
        </w:rPr>
        <w:t>יכובדו</w:t>
      </w:r>
      <w:r w:rsidRPr="006314F8">
        <w:rPr>
          <w:rtl/>
        </w:rPr>
        <w:t xml:space="preserve"> </w:t>
      </w:r>
      <w:r w:rsidRPr="006314F8">
        <w:rPr>
          <w:rFonts w:hint="eastAsia"/>
          <w:rtl/>
        </w:rPr>
        <w:t>ברוח</w:t>
      </w:r>
      <w:r w:rsidRPr="006314F8">
        <w:rPr>
          <w:rtl/>
        </w:rPr>
        <w:t xml:space="preserve"> </w:t>
      </w:r>
      <w:r w:rsidRPr="006314F8">
        <w:rPr>
          <w:rFonts w:hint="eastAsia"/>
          <w:rtl/>
        </w:rPr>
        <w:t>העקרונות</w:t>
      </w:r>
      <w:r w:rsidRPr="006314F8">
        <w:rPr>
          <w:rtl/>
        </w:rPr>
        <w:t xml:space="preserve"> </w:t>
      </w:r>
      <w:r w:rsidRPr="006314F8">
        <w:rPr>
          <w:rFonts w:hint="eastAsia"/>
          <w:rtl/>
        </w:rPr>
        <w:t>שבהכרזה</w:t>
      </w:r>
      <w:r w:rsidRPr="006314F8">
        <w:rPr>
          <w:rtl/>
        </w:rPr>
        <w:t xml:space="preserve"> </w:t>
      </w:r>
      <w:r w:rsidRPr="006314F8">
        <w:rPr>
          <w:rFonts w:hint="eastAsia"/>
          <w:rtl/>
        </w:rPr>
        <w:t>על</w:t>
      </w:r>
      <w:r w:rsidRPr="006314F8">
        <w:rPr>
          <w:rtl/>
        </w:rPr>
        <w:t xml:space="preserve"> </w:t>
      </w:r>
      <w:r w:rsidRPr="006314F8">
        <w:rPr>
          <w:rFonts w:hint="eastAsia"/>
          <w:rtl/>
        </w:rPr>
        <w:t>הקמת</w:t>
      </w:r>
      <w:r w:rsidRPr="006314F8">
        <w:rPr>
          <w:rtl/>
        </w:rPr>
        <w:t xml:space="preserve"> </w:t>
      </w:r>
      <w:r w:rsidRPr="006314F8">
        <w:rPr>
          <w:rFonts w:hint="eastAsia"/>
          <w:rtl/>
        </w:rPr>
        <w:t>מדינת</w:t>
      </w:r>
      <w:r w:rsidRPr="006314F8">
        <w:rPr>
          <w:rtl/>
        </w:rPr>
        <w:t xml:space="preserve"> </w:t>
      </w:r>
      <w:r w:rsidRPr="006314F8">
        <w:rPr>
          <w:rFonts w:hint="eastAsia"/>
          <w:rtl/>
        </w:rPr>
        <w:t>ישראל</w:t>
      </w:r>
      <w:r w:rsidRPr="006314F8">
        <w:rPr>
          <w:rFonts w:ascii="Arial TUR" w:hAnsi="Arial TUR" w:hint="cs"/>
          <w:sz w:val="22"/>
          <w:rtl/>
        </w:rPr>
        <w:t xml:space="preserve">".  </w:t>
      </w:r>
    </w:p>
    <w:p w:rsidR="00553FDC" w:rsidRPr="00C1304E" w:rsidRDefault="00553FDC" w:rsidP="00553FDC">
      <w:pPr>
        <w:pStyle w:val="Ruller4"/>
        <w:numPr>
          <w:ilvl w:val="0"/>
          <w:numId w:val="0"/>
        </w:numPr>
        <w:rPr>
          <w:rFonts w:ascii="Century" w:hAnsi="Century"/>
          <w:sz w:val="22"/>
        </w:rPr>
      </w:pPr>
    </w:p>
    <w:p w:rsidR="00553FDC" w:rsidRPr="002A0C0D" w:rsidRDefault="00553FDC" w:rsidP="00553FDC">
      <w:pPr>
        <w:pStyle w:val="Ruller41"/>
        <w:rPr>
          <w:rFonts w:ascii="Century" w:hAnsi="Century" w:cs="Miriam"/>
          <w:b/>
          <w:spacing w:val="0"/>
          <w:szCs w:val="24"/>
          <w:rtl/>
        </w:rPr>
      </w:pPr>
      <w:r w:rsidRPr="002A0C0D">
        <w:rPr>
          <w:rFonts w:ascii="Century" w:hAnsi="Century" w:cs="Miriam" w:hint="cs"/>
          <w:b/>
          <w:spacing w:val="0"/>
          <w:szCs w:val="24"/>
          <w:rtl/>
        </w:rPr>
        <w:t>הכרזת העצמאות בפסיקתו של בית המשפט העליון</w:t>
      </w:r>
    </w:p>
    <w:p w:rsidR="00553FDC" w:rsidRDefault="00553FDC" w:rsidP="00553FDC">
      <w:pPr>
        <w:pStyle w:val="Ruller41"/>
        <w:rPr>
          <w:rtl/>
        </w:rPr>
      </w:pPr>
    </w:p>
    <w:p w:rsidR="00553FDC" w:rsidRPr="00281216" w:rsidRDefault="00553FDC" w:rsidP="00553FDC">
      <w:pPr>
        <w:pStyle w:val="Ruller4"/>
      </w:pPr>
      <w:r>
        <w:rPr>
          <w:rFonts w:hint="cs"/>
          <w:rtl/>
        </w:rPr>
        <w:t>בפסקי הדין בהם בית משפט זה התייחס להכרזת העצמאות נקבע כי ההכרזה "</w:t>
      </w:r>
      <w:r w:rsidRPr="00DD55FE">
        <w:rPr>
          <w:rFonts w:hint="eastAsia"/>
          <w:rtl/>
        </w:rPr>
        <w:t>מבטאת</w:t>
      </w:r>
      <w:r w:rsidRPr="00DD55FE">
        <w:rPr>
          <w:rtl/>
        </w:rPr>
        <w:t xml:space="preserve"> </w:t>
      </w:r>
      <w:r w:rsidRPr="00DD55FE">
        <w:rPr>
          <w:rFonts w:hint="eastAsia"/>
          <w:rtl/>
        </w:rPr>
        <w:t>את</w:t>
      </w:r>
      <w:r w:rsidRPr="00DD55FE">
        <w:rPr>
          <w:rtl/>
        </w:rPr>
        <w:t xml:space="preserve"> </w:t>
      </w:r>
      <w:r w:rsidRPr="00DD55FE">
        <w:rPr>
          <w:rFonts w:hint="eastAsia"/>
          <w:rtl/>
        </w:rPr>
        <w:t>חזון</w:t>
      </w:r>
      <w:r w:rsidRPr="00DD55FE">
        <w:rPr>
          <w:rtl/>
        </w:rPr>
        <w:t xml:space="preserve"> </w:t>
      </w:r>
      <w:r w:rsidRPr="00DD55FE">
        <w:rPr>
          <w:rFonts w:hint="eastAsia"/>
          <w:rtl/>
        </w:rPr>
        <w:t>העם</w:t>
      </w:r>
      <w:r w:rsidRPr="00DD55FE">
        <w:rPr>
          <w:rtl/>
        </w:rPr>
        <w:t xml:space="preserve"> </w:t>
      </w:r>
      <w:r w:rsidRPr="00DD55FE">
        <w:rPr>
          <w:rFonts w:hint="eastAsia"/>
          <w:rtl/>
        </w:rPr>
        <w:t>ואת</w:t>
      </w:r>
      <w:r w:rsidRPr="00DD55FE">
        <w:rPr>
          <w:rtl/>
        </w:rPr>
        <w:t xml:space="preserve"> </w:t>
      </w:r>
      <w:r>
        <w:rPr>
          <w:rFonts w:hint="cs"/>
          <w:rtl/>
        </w:rPr>
        <w:t>'</w:t>
      </w:r>
      <w:r w:rsidRPr="00DD55FE">
        <w:rPr>
          <w:rFonts w:hint="eastAsia"/>
          <w:rtl/>
        </w:rPr>
        <w:t>האני</w:t>
      </w:r>
      <w:r w:rsidRPr="00DD55FE">
        <w:rPr>
          <w:rtl/>
        </w:rPr>
        <w:t xml:space="preserve"> </w:t>
      </w:r>
      <w:r w:rsidRPr="00281216">
        <w:rPr>
          <w:rFonts w:hint="eastAsia"/>
          <w:rtl/>
        </w:rPr>
        <w:t>מאמין</w:t>
      </w:r>
      <w:r w:rsidRPr="00281216">
        <w:rPr>
          <w:rtl/>
        </w:rPr>
        <w:t xml:space="preserve">' </w:t>
      </w:r>
      <w:r w:rsidRPr="00281216">
        <w:rPr>
          <w:rFonts w:hint="eastAsia"/>
          <w:rtl/>
        </w:rPr>
        <w:t>שלו</w:t>
      </w:r>
      <w:r w:rsidRPr="00281216">
        <w:rPr>
          <w:rtl/>
        </w:rPr>
        <w:t xml:space="preserve">, </w:t>
      </w:r>
      <w:r w:rsidRPr="00281216">
        <w:rPr>
          <w:rFonts w:hint="eastAsia"/>
          <w:rtl/>
        </w:rPr>
        <w:t>אבל</w:t>
      </w:r>
      <w:r w:rsidRPr="00281216">
        <w:rPr>
          <w:rtl/>
        </w:rPr>
        <w:t xml:space="preserve"> </w:t>
      </w:r>
      <w:r w:rsidRPr="00281216">
        <w:rPr>
          <w:rFonts w:hint="eastAsia"/>
          <w:rtl/>
        </w:rPr>
        <w:t>אין</w:t>
      </w:r>
      <w:r w:rsidRPr="00281216">
        <w:rPr>
          <w:rtl/>
        </w:rPr>
        <w:t xml:space="preserve"> </w:t>
      </w:r>
      <w:r w:rsidRPr="00281216">
        <w:rPr>
          <w:rFonts w:hint="eastAsia"/>
          <w:rtl/>
        </w:rPr>
        <w:t>בה</w:t>
      </w:r>
      <w:r w:rsidRPr="00281216">
        <w:rPr>
          <w:rtl/>
        </w:rPr>
        <w:t xml:space="preserve"> </w:t>
      </w:r>
      <w:r w:rsidRPr="00281216">
        <w:rPr>
          <w:rFonts w:hint="eastAsia"/>
          <w:rtl/>
        </w:rPr>
        <w:t>משום</w:t>
      </w:r>
      <w:r w:rsidRPr="00281216">
        <w:rPr>
          <w:rtl/>
        </w:rPr>
        <w:t xml:space="preserve"> </w:t>
      </w:r>
      <w:r w:rsidRPr="00281216">
        <w:rPr>
          <w:rFonts w:hint="eastAsia"/>
          <w:rtl/>
        </w:rPr>
        <w:t>חוק</w:t>
      </w:r>
      <w:r w:rsidRPr="00281216">
        <w:rPr>
          <w:rtl/>
        </w:rPr>
        <w:t xml:space="preserve"> </w:t>
      </w:r>
      <w:r w:rsidRPr="00281216">
        <w:rPr>
          <w:rFonts w:hint="eastAsia"/>
          <w:rtl/>
        </w:rPr>
        <w:t>קונסטיטוציוני</w:t>
      </w:r>
      <w:r w:rsidRPr="00281216">
        <w:rPr>
          <w:rtl/>
        </w:rPr>
        <w:t xml:space="preserve"> </w:t>
      </w:r>
      <w:r w:rsidRPr="00281216">
        <w:rPr>
          <w:rFonts w:hint="eastAsia"/>
          <w:rtl/>
        </w:rPr>
        <w:t>הפוסק</w:t>
      </w:r>
      <w:r w:rsidRPr="00281216">
        <w:rPr>
          <w:rtl/>
        </w:rPr>
        <w:t xml:space="preserve"> </w:t>
      </w:r>
      <w:r w:rsidRPr="00281216">
        <w:rPr>
          <w:rFonts w:hint="eastAsia"/>
          <w:rtl/>
        </w:rPr>
        <w:t>הלכה</w:t>
      </w:r>
      <w:r w:rsidRPr="00281216">
        <w:rPr>
          <w:rtl/>
        </w:rPr>
        <w:t xml:space="preserve"> </w:t>
      </w:r>
      <w:r w:rsidRPr="00281216">
        <w:rPr>
          <w:rFonts w:hint="eastAsia"/>
          <w:rtl/>
        </w:rPr>
        <w:t>למעשה</w:t>
      </w:r>
      <w:r w:rsidRPr="00281216">
        <w:rPr>
          <w:rtl/>
        </w:rPr>
        <w:t xml:space="preserve"> </w:t>
      </w:r>
      <w:r w:rsidRPr="00281216">
        <w:rPr>
          <w:rFonts w:hint="eastAsia"/>
          <w:rtl/>
        </w:rPr>
        <w:t>בדבר</w:t>
      </w:r>
      <w:r w:rsidRPr="00281216">
        <w:rPr>
          <w:rtl/>
        </w:rPr>
        <w:t xml:space="preserve"> </w:t>
      </w:r>
      <w:r w:rsidRPr="00281216">
        <w:rPr>
          <w:rFonts w:hint="eastAsia"/>
          <w:rtl/>
        </w:rPr>
        <w:t>קיום</w:t>
      </w:r>
      <w:r w:rsidRPr="00281216">
        <w:rPr>
          <w:rtl/>
        </w:rPr>
        <w:t xml:space="preserve"> </w:t>
      </w:r>
      <w:r w:rsidRPr="00281216">
        <w:rPr>
          <w:rFonts w:hint="eastAsia"/>
          <w:rtl/>
        </w:rPr>
        <w:t>פקודות</w:t>
      </w:r>
      <w:r w:rsidRPr="00281216">
        <w:rPr>
          <w:rtl/>
        </w:rPr>
        <w:t xml:space="preserve"> </w:t>
      </w:r>
      <w:r w:rsidRPr="00281216">
        <w:rPr>
          <w:rFonts w:hint="eastAsia"/>
          <w:rtl/>
        </w:rPr>
        <w:t>וחוקים</w:t>
      </w:r>
      <w:r w:rsidRPr="00281216">
        <w:rPr>
          <w:rtl/>
        </w:rPr>
        <w:t xml:space="preserve"> </w:t>
      </w:r>
      <w:r w:rsidRPr="00281216">
        <w:rPr>
          <w:rFonts w:hint="eastAsia"/>
          <w:rtl/>
        </w:rPr>
        <w:t>שונים</w:t>
      </w:r>
      <w:r w:rsidRPr="00281216">
        <w:rPr>
          <w:rtl/>
        </w:rPr>
        <w:t xml:space="preserve">, </w:t>
      </w:r>
      <w:r w:rsidRPr="00281216">
        <w:rPr>
          <w:rFonts w:hint="eastAsia"/>
          <w:rtl/>
        </w:rPr>
        <w:t>או</w:t>
      </w:r>
      <w:r w:rsidRPr="00281216">
        <w:rPr>
          <w:rtl/>
        </w:rPr>
        <w:t xml:space="preserve"> </w:t>
      </w:r>
      <w:r w:rsidRPr="00281216">
        <w:rPr>
          <w:rFonts w:hint="eastAsia"/>
          <w:rtl/>
        </w:rPr>
        <w:t>ביטולם</w:t>
      </w:r>
      <w:r w:rsidRPr="00281216">
        <w:rPr>
          <w:rtl/>
        </w:rPr>
        <w:t>" (</w:t>
      </w:r>
      <w:r w:rsidRPr="00281216">
        <w:rPr>
          <w:rFonts w:hint="eastAsia"/>
          <w:rtl/>
        </w:rPr>
        <w:t>ראו</w:t>
      </w:r>
      <w:r w:rsidRPr="00281216">
        <w:rPr>
          <w:rtl/>
        </w:rPr>
        <w:t xml:space="preserve">: </w:t>
      </w:r>
      <w:r w:rsidRPr="00281216">
        <w:rPr>
          <w:rFonts w:ascii="Century" w:hAnsi="Century" w:hint="eastAsia"/>
          <w:rtl/>
        </w:rPr>
        <w:t>בג</w:t>
      </w:r>
      <w:r w:rsidRPr="00281216">
        <w:rPr>
          <w:rFonts w:ascii="Century" w:hAnsi="Century"/>
          <w:rtl/>
        </w:rPr>
        <w:t>"</w:t>
      </w:r>
      <w:r w:rsidRPr="00281216">
        <w:rPr>
          <w:rFonts w:ascii="Century" w:hAnsi="Century" w:hint="eastAsia"/>
          <w:rtl/>
        </w:rPr>
        <w:t>ץ</w:t>
      </w:r>
      <w:r w:rsidRPr="00281216">
        <w:rPr>
          <w:rFonts w:ascii="Century" w:hAnsi="Century"/>
          <w:rtl/>
        </w:rPr>
        <w:t xml:space="preserve"> 10/48 </w:t>
      </w:r>
      <w:r w:rsidRPr="00281216">
        <w:rPr>
          <w:rFonts w:ascii="Century" w:hAnsi="Century" w:cs="Miriam" w:hint="eastAsia"/>
          <w:b/>
          <w:spacing w:val="0"/>
          <w:szCs w:val="24"/>
          <w:rtl/>
        </w:rPr>
        <w:t>זיו</w:t>
      </w:r>
      <w:r w:rsidRPr="00281216">
        <w:rPr>
          <w:rFonts w:ascii="Century" w:hAnsi="Century" w:cs="Miriam"/>
          <w:b/>
          <w:spacing w:val="0"/>
          <w:szCs w:val="24"/>
          <w:rtl/>
        </w:rPr>
        <w:t xml:space="preserve"> </w:t>
      </w:r>
      <w:r w:rsidRPr="00281216">
        <w:rPr>
          <w:rFonts w:ascii="Century" w:hAnsi="Century" w:cs="Miriam" w:hint="eastAsia"/>
          <w:b/>
          <w:spacing w:val="0"/>
          <w:szCs w:val="24"/>
          <w:rtl/>
        </w:rPr>
        <w:t>נ</w:t>
      </w:r>
      <w:r w:rsidRPr="00281216">
        <w:rPr>
          <w:rFonts w:ascii="Century" w:hAnsi="Century" w:cs="Miriam"/>
          <w:b/>
          <w:spacing w:val="0"/>
          <w:szCs w:val="24"/>
          <w:rtl/>
        </w:rPr>
        <w:t xml:space="preserve">' </w:t>
      </w:r>
      <w:r w:rsidRPr="00281216">
        <w:rPr>
          <w:rFonts w:ascii="Century" w:hAnsi="Century" w:cs="Miriam" w:hint="eastAsia"/>
          <w:b/>
          <w:spacing w:val="0"/>
          <w:szCs w:val="24"/>
          <w:rtl/>
        </w:rPr>
        <w:t>הממונה</w:t>
      </w:r>
      <w:r w:rsidRPr="00281216">
        <w:rPr>
          <w:rFonts w:ascii="Century" w:hAnsi="Century" w:cs="Miriam"/>
          <w:b/>
          <w:spacing w:val="0"/>
          <w:szCs w:val="24"/>
          <w:rtl/>
        </w:rPr>
        <w:t xml:space="preserve"> </w:t>
      </w:r>
      <w:r w:rsidRPr="00281216">
        <w:rPr>
          <w:rFonts w:ascii="Century" w:hAnsi="Century" w:cs="Miriam" w:hint="eastAsia"/>
          <w:b/>
          <w:spacing w:val="0"/>
          <w:szCs w:val="24"/>
          <w:rtl/>
        </w:rPr>
        <w:t>בפועל</w:t>
      </w:r>
      <w:r w:rsidRPr="00281216">
        <w:rPr>
          <w:rFonts w:ascii="Century" w:hAnsi="Century" w:cs="Miriam"/>
          <w:b/>
          <w:spacing w:val="0"/>
          <w:szCs w:val="24"/>
          <w:rtl/>
        </w:rPr>
        <w:t xml:space="preserve"> </w:t>
      </w:r>
      <w:r w:rsidRPr="00281216">
        <w:rPr>
          <w:rFonts w:ascii="Century" w:hAnsi="Century" w:cs="Miriam" w:hint="eastAsia"/>
          <w:b/>
          <w:spacing w:val="0"/>
          <w:szCs w:val="24"/>
          <w:rtl/>
        </w:rPr>
        <w:t>על</w:t>
      </w:r>
      <w:r w:rsidRPr="00281216">
        <w:rPr>
          <w:rFonts w:ascii="Century" w:hAnsi="Century" w:cs="Miriam"/>
          <w:b/>
          <w:spacing w:val="0"/>
          <w:szCs w:val="24"/>
          <w:rtl/>
        </w:rPr>
        <w:t xml:space="preserve"> </w:t>
      </w:r>
      <w:r w:rsidRPr="00281216">
        <w:rPr>
          <w:rFonts w:ascii="Century" w:hAnsi="Century" w:cs="Miriam" w:hint="eastAsia"/>
          <w:b/>
          <w:spacing w:val="0"/>
          <w:szCs w:val="24"/>
          <w:rtl/>
        </w:rPr>
        <w:t>האזור</w:t>
      </w:r>
      <w:r w:rsidRPr="00281216">
        <w:rPr>
          <w:rFonts w:ascii="Century" w:hAnsi="Century" w:cs="Miriam"/>
          <w:b/>
          <w:spacing w:val="0"/>
          <w:szCs w:val="24"/>
          <w:rtl/>
        </w:rPr>
        <w:t xml:space="preserve"> </w:t>
      </w:r>
      <w:r w:rsidRPr="00281216">
        <w:rPr>
          <w:rFonts w:ascii="Century" w:hAnsi="Century" w:cs="Miriam" w:hint="eastAsia"/>
          <w:b/>
          <w:spacing w:val="0"/>
          <w:szCs w:val="24"/>
          <w:rtl/>
        </w:rPr>
        <w:t>העירוני</w:t>
      </w:r>
      <w:r w:rsidRPr="00281216">
        <w:rPr>
          <w:rFonts w:ascii="Century" w:hAnsi="Century" w:cs="Miriam"/>
          <w:b/>
          <w:spacing w:val="0"/>
          <w:szCs w:val="24"/>
          <w:rtl/>
        </w:rPr>
        <w:t xml:space="preserve"> </w:t>
      </w:r>
      <w:r w:rsidRPr="00281216">
        <w:rPr>
          <w:rFonts w:ascii="Century" w:hAnsi="Century" w:cs="Miriam" w:hint="eastAsia"/>
          <w:b/>
          <w:spacing w:val="0"/>
          <w:szCs w:val="24"/>
          <w:rtl/>
        </w:rPr>
        <w:t>תל</w:t>
      </w:r>
      <w:r w:rsidRPr="00281216">
        <w:rPr>
          <w:rFonts w:ascii="Century" w:hAnsi="Century" w:cs="Miriam"/>
          <w:b/>
          <w:spacing w:val="0"/>
          <w:szCs w:val="24"/>
          <w:rtl/>
        </w:rPr>
        <w:t>-</w:t>
      </w:r>
      <w:r w:rsidRPr="00281216">
        <w:rPr>
          <w:rFonts w:ascii="Century" w:hAnsi="Century" w:cs="Miriam" w:hint="eastAsia"/>
          <w:b/>
          <w:spacing w:val="0"/>
          <w:szCs w:val="24"/>
          <w:rtl/>
        </w:rPr>
        <w:t>אביב</w:t>
      </w:r>
      <w:r w:rsidRPr="00281216">
        <w:rPr>
          <w:rFonts w:ascii="Century" w:hAnsi="Century"/>
          <w:rtl/>
        </w:rPr>
        <w:t xml:space="preserve">, </w:t>
      </w:r>
      <w:r w:rsidRPr="00281216">
        <w:rPr>
          <w:rFonts w:ascii="Century" w:hAnsi="Century" w:hint="eastAsia"/>
          <w:rtl/>
        </w:rPr>
        <w:t>פ</w:t>
      </w:r>
      <w:r w:rsidRPr="00281216">
        <w:rPr>
          <w:rFonts w:ascii="Century" w:hAnsi="Century"/>
          <w:rtl/>
        </w:rPr>
        <w:t>"</w:t>
      </w:r>
      <w:r w:rsidRPr="00281216">
        <w:rPr>
          <w:rFonts w:ascii="Century" w:hAnsi="Century" w:hint="eastAsia"/>
          <w:rtl/>
        </w:rPr>
        <w:t>ד</w:t>
      </w:r>
      <w:r w:rsidRPr="00281216">
        <w:rPr>
          <w:rFonts w:ascii="Century" w:hAnsi="Century"/>
          <w:rtl/>
        </w:rPr>
        <w:t xml:space="preserve"> </w:t>
      </w:r>
      <w:r w:rsidRPr="00281216">
        <w:rPr>
          <w:rFonts w:ascii="Century" w:hAnsi="Century" w:hint="eastAsia"/>
          <w:rtl/>
        </w:rPr>
        <w:t>א</w:t>
      </w:r>
      <w:r w:rsidRPr="00281216">
        <w:rPr>
          <w:rFonts w:ascii="Century" w:hAnsi="Century"/>
          <w:rtl/>
        </w:rPr>
        <w:t xml:space="preserve"> 85, 90 (1948)); </w:t>
      </w:r>
      <w:r w:rsidRPr="00281216">
        <w:rPr>
          <w:rFonts w:ascii="Century" w:hAnsi="Century" w:hint="eastAsia"/>
          <w:rtl/>
        </w:rPr>
        <w:t>וכי</w:t>
      </w:r>
      <w:r w:rsidRPr="00281216">
        <w:rPr>
          <w:rFonts w:ascii="Century" w:hAnsi="Century"/>
          <w:rtl/>
        </w:rPr>
        <w:t xml:space="preserve"> </w:t>
      </w:r>
      <w:r w:rsidRPr="00281216">
        <w:rPr>
          <w:rFonts w:ascii="Century" w:hAnsi="Century" w:hint="eastAsia"/>
          <w:rtl/>
        </w:rPr>
        <w:t>ההכרזה</w:t>
      </w:r>
      <w:r w:rsidRPr="00281216">
        <w:rPr>
          <w:rFonts w:ascii="Century" w:hAnsi="Century"/>
          <w:rtl/>
        </w:rPr>
        <w:t xml:space="preserve"> </w:t>
      </w:r>
      <w:r w:rsidRPr="00281216">
        <w:rPr>
          <w:rFonts w:ascii="Century" w:hAnsi="Century" w:hint="eastAsia"/>
          <w:rtl/>
        </w:rPr>
        <w:t>מהווה</w:t>
      </w:r>
      <w:r w:rsidRPr="00281216">
        <w:rPr>
          <w:rFonts w:ascii="Century" w:hAnsi="Century"/>
          <w:rtl/>
        </w:rPr>
        <w:t xml:space="preserve"> </w:t>
      </w:r>
      <w:r w:rsidRPr="00281216">
        <w:rPr>
          <w:rFonts w:ascii="Century" w:hAnsi="Century" w:hint="eastAsia"/>
          <w:rtl/>
        </w:rPr>
        <w:t>בסיס</w:t>
      </w:r>
      <w:r w:rsidRPr="00281216">
        <w:rPr>
          <w:rFonts w:ascii="Century" w:hAnsi="Century"/>
          <w:rtl/>
        </w:rPr>
        <w:t xml:space="preserve"> </w:t>
      </w:r>
      <w:r w:rsidRPr="00281216">
        <w:rPr>
          <w:rFonts w:ascii="Century" w:hAnsi="Century" w:hint="eastAsia"/>
          <w:rtl/>
        </w:rPr>
        <w:t>לפרשנותם</w:t>
      </w:r>
      <w:r w:rsidRPr="00281216">
        <w:rPr>
          <w:rFonts w:ascii="Century" w:hAnsi="Century"/>
          <w:rtl/>
        </w:rPr>
        <w:t xml:space="preserve"> </w:t>
      </w:r>
      <w:r w:rsidRPr="00281216">
        <w:rPr>
          <w:rFonts w:ascii="Century" w:hAnsi="Century" w:hint="eastAsia"/>
          <w:rtl/>
        </w:rPr>
        <w:t>של</w:t>
      </w:r>
      <w:r w:rsidRPr="00281216">
        <w:rPr>
          <w:rFonts w:ascii="Century" w:hAnsi="Century"/>
          <w:rtl/>
        </w:rPr>
        <w:t xml:space="preserve"> </w:t>
      </w:r>
      <w:r w:rsidRPr="00281216">
        <w:rPr>
          <w:rFonts w:ascii="Century" w:hAnsi="Century" w:hint="eastAsia"/>
          <w:rtl/>
        </w:rPr>
        <w:t>דברי</w:t>
      </w:r>
      <w:r w:rsidRPr="00281216">
        <w:rPr>
          <w:rFonts w:ascii="Century" w:hAnsi="Century"/>
          <w:rtl/>
        </w:rPr>
        <w:t xml:space="preserve"> </w:t>
      </w:r>
      <w:r w:rsidRPr="00281216">
        <w:rPr>
          <w:rFonts w:ascii="Century" w:hAnsi="Century" w:hint="eastAsia"/>
          <w:rtl/>
        </w:rPr>
        <w:t>חקיקה</w:t>
      </w:r>
      <w:r w:rsidRPr="00281216">
        <w:rPr>
          <w:rFonts w:ascii="Century" w:hAnsi="Century"/>
          <w:rtl/>
        </w:rPr>
        <w:t xml:space="preserve"> </w:t>
      </w:r>
      <w:r w:rsidRPr="00281216">
        <w:rPr>
          <w:rFonts w:ascii="Century" w:hAnsi="Century" w:hint="eastAsia"/>
          <w:rtl/>
        </w:rPr>
        <w:t>שטעונים</w:t>
      </w:r>
      <w:r w:rsidRPr="00281216">
        <w:rPr>
          <w:rFonts w:ascii="Century" w:hAnsi="Century"/>
          <w:rtl/>
        </w:rPr>
        <w:t xml:space="preserve"> </w:t>
      </w:r>
      <w:r w:rsidRPr="00281216">
        <w:rPr>
          <w:rFonts w:ascii="Century" w:hAnsi="Century" w:hint="eastAsia"/>
          <w:rtl/>
        </w:rPr>
        <w:t>פירוש</w:t>
      </w:r>
      <w:r w:rsidRPr="00281216">
        <w:rPr>
          <w:rFonts w:ascii="Century" w:hAnsi="Century"/>
          <w:rtl/>
        </w:rPr>
        <w:t xml:space="preserve">, </w:t>
      </w:r>
      <w:r w:rsidRPr="00281216">
        <w:rPr>
          <w:rFonts w:ascii="Century" w:hAnsi="Century" w:hint="eastAsia"/>
          <w:rtl/>
        </w:rPr>
        <w:t>ותו</w:t>
      </w:r>
      <w:r w:rsidRPr="00281216">
        <w:rPr>
          <w:rFonts w:ascii="Century" w:hAnsi="Century"/>
          <w:rtl/>
        </w:rPr>
        <w:t xml:space="preserve"> </w:t>
      </w:r>
      <w:r w:rsidRPr="00281216">
        <w:rPr>
          <w:rFonts w:ascii="Century" w:hAnsi="Century" w:hint="eastAsia"/>
          <w:rtl/>
        </w:rPr>
        <w:t>לא</w:t>
      </w:r>
      <w:r w:rsidRPr="00281216">
        <w:rPr>
          <w:rFonts w:ascii="Century" w:hAnsi="Century"/>
          <w:rtl/>
        </w:rPr>
        <w:t xml:space="preserve"> (</w:t>
      </w:r>
      <w:r w:rsidRPr="00281216">
        <w:rPr>
          <w:rFonts w:ascii="Century" w:hAnsi="Century" w:hint="eastAsia"/>
          <w:rtl/>
        </w:rPr>
        <w:t>ראו</w:t>
      </w:r>
      <w:r w:rsidRPr="00281216">
        <w:rPr>
          <w:rFonts w:ascii="Century" w:hAnsi="Century"/>
          <w:rtl/>
        </w:rPr>
        <w:t xml:space="preserve">: </w:t>
      </w:r>
      <w:r w:rsidRPr="00281216">
        <w:rPr>
          <w:rFonts w:ascii="Century" w:hAnsi="Century" w:hint="eastAsia"/>
          <w:rtl/>
        </w:rPr>
        <w:t>בג</w:t>
      </w:r>
      <w:r w:rsidRPr="00281216">
        <w:rPr>
          <w:rFonts w:ascii="Century" w:hAnsi="Century"/>
          <w:rtl/>
        </w:rPr>
        <w:t>"</w:t>
      </w:r>
      <w:r w:rsidRPr="00281216">
        <w:rPr>
          <w:rFonts w:ascii="Century" w:hAnsi="Century" w:hint="eastAsia"/>
          <w:rtl/>
        </w:rPr>
        <w:t>ץ</w:t>
      </w:r>
      <w:r w:rsidRPr="00281216">
        <w:rPr>
          <w:rFonts w:ascii="Century" w:hAnsi="Century"/>
          <w:rtl/>
        </w:rPr>
        <w:t xml:space="preserve"> 73/53 </w:t>
      </w:r>
      <w:r w:rsidRPr="00281216">
        <w:rPr>
          <w:rFonts w:ascii="Century" w:hAnsi="Century" w:cs="Miriam" w:hint="eastAsia"/>
          <w:b/>
          <w:spacing w:val="0"/>
          <w:szCs w:val="24"/>
          <w:rtl/>
        </w:rPr>
        <w:t>חברת</w:t>
      </w:r>
      <w:r w:rsidRPr="00281216">
        <w:rPr>
          <w:rFonts w:ascii="Century" w:hAnsi="Century" w:cs="Miriam"/>
          <w:b/>
          <w:spacing w:val="0"/>
          <w:szCs w:val="24"/>
          <w:rtl/>
        </w:rPr>
        <w:t xml:space="preserve"> "</w:t>
      </w:r>
      <w:r w:rsidRPr="00281216">
        <w:rPr>
          <w:rFonts w:ascii="Century" w:hAnsi="Century" w:cs="Miriam" w:hint="eastAsia"/>
          <w:b/>
          <w:spacing w:val="0"/>
          <w:szCs w:val="24"/>
          <w:rtl/>
        </w:rPr>
        <w:t>קול</w:t>
      </w:r>
      <w:r w:rsidRPr="00281216">
        <w:rPr>
          <w:rFonts w:ascii="Century" w:hAnsi="Century" w:cs="Miriam"/>
          <w:b/>
          <w:spacing w:val="0"/>
          <w:szCs w:val="24"/>
          <w:rtl/>
        </w:rPr>
        <w:t xml:space="preserve"> </w:t>
      </w:r>
      <w:r w:rsidRPr="00281216">
        <w:rPr>
          <w:rFonts w:ascii="Century" w:hAnsi="Century" w:cs="Miriam" w:hint="eastAsia"/>
          <w:b/>
          <w:spacing w:val="0"/>
          <w:szCs w:val="24"/>
          <w:rtl/>
        </w:rPr>
        <w:t>העם</w:t>
      </w:r>
      <w:r w:rsidRPr="00281216">
        <w:rPr>
          <w:rFonts w:ascii="Century" w:hAnsi="Century" w:cs="Miriam"/>
          <w:b/>
          <w:spacing w:val="0"/>
          <w:szCs w:val="24"/>
          <w:rtl/>
        </w:rPr>
        <w:t xml:space="preserve">" </w:t>
      </w:r>
      <w:r w:rsidRPr="00281216">
        <w:rPr>
          <w:rFonts w:ascii="Century" w:hAnsi="Century" w:cs="Miriam" w:hint="eastAsia"/>
          <w:b/>
          <w:spacing w:val="0"/>
          <w:szCs w:val="24"/>
          <w:rtl/>
        </w:rPr>
        <w:t>בע</w:t>
      </w:r>
      <w:r w:rsidRPr="00281216">
        <w:rPr>
          <w:rFonts w:ascii="Century" w:hAnsi="Century" w:cs="Miriam"/>
          <w:b/>
          <w:spacing w:val="0"/>
          <w:szCs w:val="24"/>
          <w:rtl/>
        </w:rPr>
        <w:t>"</w:t>
      </w:r>
      <w:r w:rsidRPr="00281216">
        <w:rPr>
          <w:rFonts w:ascii="Century" w:hAnsi="Century" w:cs="Miriam" w:hint="eastAsia"/>
          <w:b/>
          <w:spacing w:val="0"/>
          <w:szCs w:val="24"/>
          <w:rtl/>
        </w:rPr>
        <w:t>מ</w:t>
      </w:r>
      <w:r w:rsidRPr="00281216">
        <w:rPr>
          <w:rFonts w:ascii="Century" w:hAnsi="Century" w:cs="Miriam"/>
          <w:b/>
          <w:spacing w:val="0"/>
          <w:szCs w:val="24"/>
          <w:rtl/>
        </w:rPr>
        <w:t xml:space="preserve"> </w:t>
      </w:r>
      <w:r w:rsidRPr="00281216">
        <w:rPr>
          <w:rFonts w:ascii="Century" w:hAnsi="Century" w:cs="Miriam" w:hint="eastAsia"/>
          <w:b/>
          <w:spacing w:val="0"/>
          <w:szCs w:val="24"/>
          <w:rtl/>
        </w:rPr>
        <w:t>נ</w:t>
      </w:r>
      <w:r w:rsidRPr="00281216">
        <w:rPr>
          <w:rFonts w:ascii="Century" w:hAnsi="Century" w:cs="Miriam"/>
          <w:b/>
          <w:spacing w:val="0"/>
          <w:szCs w:val="24"/>
          <w:rtl/>
        </w:rPr>
        <w:t xml:space="preserve">' </w:t>
      </w:r>
      <w:r w:rsidRPr="00281216">
        <w:rPr>
          <w:rFonts w:ascii="Century" w:hAnsi="Century" w:cs="Miriam" w:hint="eastAsia"/>
          <w:b/>
          <w:spacing w:val="0"/>
          <w:szCs w:val="24"/>
          <w:rtl/>
        </w:rPr>
        <w:t>שר</w:t>
      </w:r>
      <w:r w:rsidRPr="00281216">
        <w:rPr>
          <w:rFonts w:ascii="Century" w:hAnsi="Century" w:cs="Miriam"/>
          <w:b/>
          <w:spacing w:val="0"/>
          <w:szCs w:val="24"/>
          <w:rtl/>
        </w:rPr>
        <w:t xml:space="preserve"> </w:t>
      </w:r>
      <w:r w:rsidRPr="00281216">
        <w:rPr>
          <w:rFonts w:ascii="Century" w:hAnsi="Century" w:cs="Miriam" w:hint="eastAsia"/>
          <w:b/>
          <w:spacing w:val="0"/>
          <w:szCs w:val="24"/>
          <w:rtl/>
        </w:rPr>
        <w:t>הפנים</w:t>
      </w:r>
      <w:r w:rsidRPr="00281216">
        <w:rPr>
          <w:sz w:val="26"/>
          <w:rtl/>
        </w:rPr>
        <w:t xml:space="preserve">, </w:t>
      </w:r>
      <w:r w:rsidRPr="00281216">
        <w:rPr>
          <w:rFonts w:hint="eastAsia"/>
          <w:sz w:val="26"/>
          <w:rtl/>
        </w:rPr>
        <w:t>פ</w:t>
      </w:r>
      <w:r w:rsidRPr="00281216">
        <w:rPr>
          <w:sz w:val="26"/>
          <w:rtl/>
        </w:rPr>
        <w:t>"</w:t>
      </w:r>
      <w:r w:rsidRPr="00281216">
        <w:rPr>
          <w:rFonts w:hint="eastAsia"/>
          <w:sz w:val="26"/>
          <w:rtl/>
        </w:rPr>
        <w:t>ד</w:t>
      </w:r>
      <w:r w:rsidRPr="00281216">
        <w:rPr>
          <w:sz w:val="26"/>
          <w:rtl/>
        </w:rPr>
        <w:t xml:space="preserve"> </w:t>
      </w:r>
      <w:r w:rsidRPr="00281216">
        <w:rPr>
          <w:rFonts w:hint="eastAsia"/>
          <w:sz w:val="26"/>
          <w:rtl/>
        </w:rPr>
        <w:t>ז</w:t>
      </w:r>
      <w:r w:rsidRPr="00281216">
        <w:rPr>
          <w:sz w:val="26"/>
          <w:rtl/>
        </w:rPr>
        <w:t xml:space="preserve"> 871, 885 (1953)</w:t>
      </w:r>
      <w:r w:rsidRPr="00281216">
        <w:rPr>
          <w:rtl/>
        </w:rPr>
        <w:t xml:space="preserve">; </w:t>
      </w:r>
      <w:r w:rsidRPr="00281216">
        <w:rPr>
          <w:rFonts w:hint="eastAsia"/>
          <w:rtl/>
        </w:rPr>
        <w:t>בג</w:t>
      </w:r>
      <w:r w:rsidRPr="00281216">
        <w:rPr>
          <w:rtl/>
        </w:rPr>
        <w:t>"</w:t>
      </w:r>
      <w:r w:rsidRPr="00281216">
        <w:rPr>
          <w:rFonts w:hint="eastAsia"/>
          <w:rtl/>
        </w:rPr>
        <w:t>ץ</w:t>
      </w:r>
      <w:r w:rsidRPr="00281216">
        <w:rPr>
          <w:rtl/>
        </w:rPr>
        <w:t xml:space="preserve"> 450/70 </w:t>
      </w:r>
      <w:r w:rsidRPr="00281216">
        <w:rPr>
          <w:rFonts w:cs="Miriam" w:hint="eastAsia"/>
          <w:b/>
          <w:spacing w:val="0"/>
          <w:szCs w:val="24"/>
          <w:rtl/>
        </w:rPr>
        <w:t>רוגוזינסקי</w:t>
      </w:r>
      <w:r w:rsidRPr="00281216">
        <w:rPr>
          <w:rFonts w:cs="Miriam"/>
          <w:b/>
          <w:spacing w:val="0"/>
          <w:szCs w:val="24"/>
          <w:rtl/>
        </w:rPr>
        <w:t xml:space="preserve"> </w:t>
      </w:r>
      <w:r w:rsidRPr="00281216">
        <w:rPr>
          <w:rFonts w:cs="Miriam" w:hint="eastAsia"/>
          <w:b/>
          <w:spacing w:val="0"/>
          <w:szCs w:val="24"/>
          <w:rtl/>
        </w:rPr>
        <w:t>נ</w:t>
      </w:r>
      <w:r w:rsidRPr="00281216">
        <w:rPr>
          <w:rFonts w:cs="Miriam"/>
          <w:b/>
          <w:spacing w:val="0"/>
          <w:szCs w:val="24"/>
          <w:rtl/>
        </w:rPr>
        <w:t xml:space="preserve">' </w:t>
      </w:r>
      <w:r w:rsidRPr="00281216">
        <w:rPr>
          <w:rFonts w:cs="Miriam" w:hint="eastAsia"/>
          <w:b/>
          <w:spacing w:val="0"/>
          <w:szCs w:val="24"/>
          <w:rtl/>
        </w:rPr>
        <w:t>מדינת</w:t>
      </w:r>
      <w:r w:rsidRPr="00281216">
        <w:rPr>
          <w:rFonts w:cs="Miriam"/>
          <w:b/>
          <w:spacing w:val="0"/>
          <w:szCs w:val="24"/>
          <w:rtl/>
        </w:rPr>
        <w:t xml:space="preserve"> </w:t>
      </w:r>
      <w:r w:rsidRPr="00281216">
        <w:rPr>
          <w:rFonts w:cs="Miriam" w:hint="eastAsia"/>
          <w:b/>
          <w:spacing w:val="0"/>
          <w:szCs w:val="24"/>
          <w:rtl/>
        </w:rPr>
        <w:t>ישראל</w:t>
      </w:r>
      <w:r w:rsidRPr="00281216">
        <w:rPr>
          <w:rtl/>
        </w:rPr>
        <w:t xml:space="preserve">, </w:t>
      </w:r>
      <w:r w:rsidRPr="00281216">
        <w:rPr>
          <w:rFonts w:hint="eastAsia"/>
          <w:rtl/>
        </w:rPr>
        <w:t>פ</w:t>
      </w:r>
      <w:r w:rsidRPr="00281216">
        <w:rPr>
          <w:rtl/>
        </w:rPr>
        <w:t>"</w:t>
      </w:r>
      <w:r w:rsidRPr="00281216">
        <w:rPr>
          <w:rFonts w:hint="eastAsia"/>
          <w:rtl/>
        </w:rPr>
        <w:t>ד</w:t>
      </w:r>
      <w:r w:rsidRPr="00281216">
        <w:rPr>
          <w:rtl/>
        </w:rPr>
        <w:t xml:space="preserve"> </w:t>
      </w:r>
      <w:r w:rsidRPr="00281216">
        <w:rPr>
          <w:rFonts w:hint="eastAsia"/>
          <w:rtl/>
        </w:rPr>
        <w:t>כו</w:t>
      </w:r>
      <w:r w:rsidRPr="00281216">
        <w:rPr>
          <w:rtl/>
        </w:rPr>
        <w:t xml:space="preserve">(1) 129, 136 (1971)). </w:t>
      </w:r>
    </w:p>
    <w:p w:rsidR="00553FDC" w:rsidRPr="00281216" w:rsidRDefault="00553FDC" w:rsidP="00553FDC">
      <w:pPr>
        <w:pStyle w:val="Ruller4"/>
        <w:numPr>
          <w:ilvl w:val="0"/>
          <w:numId w:val="0"/>
        </w:numPr>
      </w:pPr>
    </w:p>
    <w:p w:rsidR="00553FDC" w:rsidRPr="00281216" w:rsidRDefault="00553FDC" w:rsidP="00553FDC">
      <w:pPr>
        <w:pStyle w:val="Ruller4"/>
        <w:rPr>
          <w:rFonts w:ascii="FrankRuehl" w:hAnsi="FrankRuehl"/>
          <w:color w:val="222222"/>
          <w:spacing w:val="0"/>
          <w:sz w:val="28"/>
        </w:rPr>
      </w:pPr>
      <w:r w:rsidRPr="00281216">
        <w:rPr>
          <w:rFonts w:hint="eastAsia"/>
          <w:rtl/>
        </w:rPr>
        <w:lastRenderedPageBreak/>
        <w:t>כמו</w:t>
      </w:r>
      <w:r w:rsidRPr="00281216">
        <w:rPr>
          <w:rtl/>
        </w:rPr>
        <w:t xml:space="preserve"> </w:t>
      </w:r>
      <w:r w:rsidRPr="00281216">
        <w:rPr>
          <w:rFonts w:hint="eastAsia"/>
          <w:rtl/>
        </w:rPr>
        <w:t>כן</w:t>
      </w:r>
      <w:r w:rsidRPr="00281216">
        <w:rPr>
          <w:rtl/>
        </w:rPr>
        <w:t xml:space="preserve">, </w:t>
      </w:r>
      <w:r w:rsidRPr="00281216">
        <w:rPr>
          <w:rFonts w:hint="eastAsia"/>
          <w:rtl/>
        </w:rPr>
        <w:t>נקבע</w:t>
      </w:r>
      <w:r w:rsidRPr="00281216">
        <w:rPr>
          <w:rtl/>
        </w:rPr>
        <w:t xml:space="preserve"> </w:t>
      </w:r>
      <w:r w:rsidRPr="00281216">
        <w:rPr>
          <w:rFonts w:hint="eastAsia"/>
          <w:rtl/>
        </w:rPr>
        <w:t>אמנם</w:t>
      </w:r>
      <w:r w:rsidRPr="00281216">
        <w:rPr>
          <w:rtl/>
        </w:rPr>
        <w:t xml:space="preserve"> </w:t>
      </w:r>
      <w:r w:rsidRPr="00281216">
        <w:rPr>
          <w:rFonts w:hint="eastAsia"/>
          <w:rtl/>
        </w:rPr>
        <w:t>כי</w:t>
      </w:r>
      <w:r w:rsidRPr="00281216">
        <w:rPr>
          <w:rtl/>
        </w:rPr>
        <w:t xml:space="preserve"> </w:t>
      </w:r>
      <w:r w:rsidRPr="00281216">
        <w:rPr>
          <w:rFonts w:hint="eastAsia"/>
          <w:rtl/>
        </w:rPr>
        <w:t>אזכור</w:t>
      </w:r>
      <w:r w:rsidRPr="00281216">
        <w:rPr>
          <w:rtl/>
        </w:rPr>
        <w:t xml:space="preserve"> </w:t>
      </w:r>
      <w:r w:rsidRPr="00281216">
        <w:rPr>
          <w:rFonts w:hint="eastAsia"/>
          <w:rtl/>
        </w:rPr>
        <w:t>ההכרזה</w:t>
      </w:r>
      <w:r w:rsidRPr="00281216">
        <w:rPr>
          <w:rtl/>
        </w:rPr>
        <w:t xml:space="preserve"> </w:t>
      </w:r>
      <w:r w:rsidRPr="00281216">
        <w:rPr>
          <w:rFonts w:hint="eastAsia"/>
          <w:rtl/>
        </w:rPr>
        <w:t>בסעיף</w:t>
      </w:r>
      <w:r w:rsidRPr="00281216">
        <w:rPr>
          <w:rtl/>
        </w:rPr>
        <w:t xml:space="preserve"> 1 </w:t>
      </w:r>
      <w:r w:rsidRPr="00281216">
        <w:rPr>
          <w:rFonts w:hint="eastAsia"/>
          <w:rtl/>
        </w:rPr>
        <w:t>לחוק</w:t>
      </w:r>
      <w:r w:rsidRPr="00281216">
        <w:rPr>
          <w:rtl/>
        </w:rPr>
        <w:t>-</w:t>
      </w:r>
      <w:r w:rsidRPr="00281216">
        <w:rPr>
          <w:rFonts w:hint="eastAsia"/>
          <w:rtl/>
        </w:rPr>
        <w:t>יסוד</w:t>
      </w:r>
      <w:r w:rsidRPr="00281216">
        <w:rPr>
          <w:rtl/>
        </w:rPr>
        <w:t xml:space="preserve">: </w:t>
      </w:r>
      <w:r w:rsidRPr="00281216">
        <w:rPr>
          <w:rFonts w:hint="eastAsia"/>
          <w:rtl/>
        </w:rPr>
        <w:t>כבוד</w:t>
      </w:r>
      <w:r w:rsidRPr="00281216">
        <w:rPr>
          <w:rtl/>
        </w:rPr>
        <w:t xml:space="preserve"> </w:t>
      </w:r>
      <w:r w:rsidRPr="00281216">
        <w:rPr>
          <w:rFonts w:hint="eastAsia"/>
          <w:rtl/>
        </w:rPr>
        <w:t>האדם</w:t>
      </w:r>
      <w:r w:rsidRPr="00281216">
        <w:rPr>
          <w:rtl/>
        </w:rPr>
        <w:t xml:space="preserve"> </w:t>
      </w:r>
      <w:r w:rsidRPr="00281216">
        <w:rPr>
          <w:rFonts w:hint="eastAsia"/>
          <w:rtl/>
        </w:rPr>
        <w:t>וחירותו</w:t>
      </w:r>
      <w:r w:rsidRPr="00281216">
        <w:rPr>
          <w:rtl/>
        </w:rPr>
        <w:t xml:space="preserve"> </w:t>
      </w:r>
      <w:r w:rsidRPr="00281216">
        <w:rPr>
          <w:rFonts w:hint="eastAsia"/>
          <w:rtl/>
        </w:rPr>
        <w:t>מאפשר</w:t>
      </w:r>
      <w:r w:rsidRPr="00281216">
        <w:rPr>
          <w:rtl/>
        </w:rPr>
        <w:t xml:space="preserve"> </w:t>
      </w:r>
      <w:r w:rsidRPr="00281216">
        <w:rPr>
          <w:rFonts w:hint="eastAsia"/>
          <w:rtl/>
        </w:rPr>
        <w:t>לראות</w:t>
      </w:r>
      <w:r w:rsidRPr="00281216">
        <w:rPr>
          <w:rtl/>
        </w:rPr>
        <w:t xml:space="preserve"> </w:t>
      </w:r>
      <w:r w:rsidRPr="00281216">
        <w:rPr>
          <w:rFonts w:hint="eastAsia"/>
          <w:rtl/>
        </w:rPr>
        <w:t>בה</w:t>
      </w:r>
      <w:r w:rsidRPr="00281216">
        <w:rPr>
          <w:rtl/>
        </w:rPr>
        <w:t xml:space="preserve"> </w:t>
      </w:r>
      <w:r w:rsidRPr="00281216">
        <w:rPr>
          <w:rFonts w:ascii="Century" w:hAnsi="Century" w:cs="Miriam" w:hint="eastAsia"/>
          <w:b/>
          <w:spacing w:val="0"/>
          <w:sz w:val="22"/>
          <w:szCs w:val="24"/>
          <w:u w:val="single"/>
          <w:rtl/>
        </w:rPr>
        <w:t>מקור</w:t>
      </w:r>
      <w:r w:rsidRPr="00281216">
        <w:rPr>
          <w:rFonts w:ascii="Century" w:hAnsi="Century" w:cs="Miriam"/>
          <w:b/>
          <w:spacing w:val="0"/>
          <w:sz w:val="22"/>
          <w:szCs w:val="24"/>
          <w:u w:val="single"/>
          <w:rtl/>
        </w:rPr>
        <w:t xml:space="preserve"> </w:t>
      </w:r>
      <w:r w:rsidRPr="00281216">
        <w:rPr>
          <w:rFonts w:ascii="Century" w:hAnsi="Century" w:cs="Miriam" w:hint="eastAsia"/>
          <w:b/>
          <w:spacing w:val="0"/>
          <w:sz w:val="22"/>
          <w:szCs w:val="24"/>
          <w:u w:val="single"/>
          <w:rtl/>
        </w:rPr>
        <w:t>חוקתי</w:t>
      </w:r>
      <w:r w:rsidRPr="00281216">
        <w:rPr>
          <w:rFonts w:ascii="Century" w:hAnsi="Century" w:cs="Miriam"/>
          <w:b/>
          <w:spacing w:val="0"/>
          <w:sz w:val="22"/>
          <w:szCs w:val="24"/>
          <w:u w:val="single"/>
          <w:rtl/>
        </w:rPr>
        <w:t xml:space="preserve"> </w:t>
      </w:r>
      <w:r w:rsidRPr="00281216">
        <w:rPr>
          <w:rFonts w:ascii="Century" w:hAnsi="Century" w:cs="Miriam" w:hint="eastAsia"/>
          <w:b/>
          <w:spacing w:val="0"/>
          <w:sz w:val="22"/>
          <w:szCs w:val="24"/>
          <w:u w:val="single"/>
          <w:rtl/>
        </w:rPr>
        <w:t>עצמאי</w:t>
      </w:r>
      <w:r w:rsidRPr="00281216">
        <w:rPr>
          <w:rtl/>
        </w:rPr>
        <w:t xml:space="preserve"> </w:t>
      </w:r>
      <w:r w:rsidRPr="00281216">
        <w:rPr>
          <w:rFonts w:hint="eastAsia"/>
          <w:rtl/>
        </w:rPr>
        <w:t>להכרה</w:t>
      </w:r>
      <w:r w:rsidRPr="00281216">
        <w:rPr>
          <w:rtl/>
        </w:rPr>
        <w:t xml:space="preserve"> </w:t>
      </w:r>
      <w:r w:rsidRPr="00281216">
        <w:rPr>
          <w:rFonts w:hint="eastAsia"/>
          <w:rtl/>
        </w:rPr>
        <w:t>בזכויות</w:t>
      </w:r>
      <w:r w:rsidRPr="00281216">
        <w:rPr>
          <w:rtl/>
        </w:rPr>
        <w:t xml:space="preserve"> </w:t>
      </w:r>
      <w:r w:rsidRPr="00281216">
        <w:rPr>
          <w:rFonts w:hint="eastAsia"/>
          <w:rtl/>
        </w:rPr>
        <w:t>האדם</w:t>
      </w:r>
      <w:r w:rsidRPr="00281216">
        <w:rPr>
          <w:rtl/>
        </w:rPr>
        <w:t xml:space="preserve">, </w:t>
      </w:r>
      <w:r w:rsidRPr="00281216">
        <w:rPr>
          <w:rFonts w:hint="eastAsia"/>
          <w:rtl/>
        </w:rPr>
        <w:t>אולם</w:t>
      </w:r>
      <w:r w:rsidRPr="00281216">
        <w:rPr>
          <w:rtl/>
        </w:rPr>
        <w:t xml:space="preserve"> </w:t>
      </w:r>
      <w:r w:rsidRPr="00281216">
        <w:rPr>
          <w:rFonts w:hint="eastAsia"/>
          <w:rtl/>
        </w:rPr>
        <w:t>הסוגיה</w:t>
      </w:r>
      <w:r w:rsidRPr="00281216">
        <w:rPr>
          <w:rtl/>
        </w:rPr>
        <w:t xml:space="preserve"> </w:t>
      </w:r>
      <w:r w:rsidRPr="00281216">
        <w:rPr>
          <w:rFonts w:hint="eastAsia"/>
          <w:rtl/>
        </w:rPr>
        <w:t>הושארה</w:t>
      </w:r>
      <w:r w:rsidRPr="00281216">
        <w:rPr>
          <w:rtl/>
        </w:rPr>
        <w:t xml:space="preserve"> </w:t>
      </w:r>
      <w:r w:rsidRPr="00281216">
        <w:rPr>
          <w:rFonts w:hint="eastAsia"/>
          <w:rtl/>
        </w:rPr>
        <w:t>בצריך</w:t>
      </w:r>
      <w:r w:rsidRPr="00281216">
        <w:rPr>
          <w:rtl/>
        </w:rPr>
        <w:t xml:space="preserve"> </w:t>
      </w:r>
      <w:r w:rsidRPr="00281216">
        <w:rPr>
          <w:rFonts w:hint="eastAsia"/>
          <w:rtl/>
        </w:rPr>
        <w:t>עיון</w:t>
      </w:r>
      <w:r w:rsidRPr="00281216">
        <w:rPr>
          <w:rtl/>
        </w:rPr>
        <w:t xml:space="preserve"> (</w:t>
      </w:r>
      <w:r w:rsidRPr="00281216">
        <w:rPr>
          <w:rFonts w:hint="eastAsia"/>
          <w:rtl/>
        </w:rPr>
        <w:t>ראו</w:t>
      </w:r>
      <w:r w:rsidRPr="00281216">
        <w:rPr>
          <w:rtl/>
        </w:rPr>
        <w:t xml:space="preserve">: </w:t>
      </w:r>
      <w:r w:rsidRPr="00281216">
        <w:rPr>
          <w:rFonts w:hint="eastAsia"/>
          <w:rtl/>
        </w:rPr>
        <w:t>בג</w:t>
      </w:r>
      <w:r w:rsidRPr="00281216">
        <w:rPr>
          <w:rtl/>
        </w:rPr>
        <w:t>"</w:t>
      </w:r>
      <w:r w:rsidRPr="00281216">
        <w:rPr>
          <w:rFonts w:hint="eastAsia"/>
          <w:rtl/>
        </w:rPr>
        <w:t>ץ</w:t>
      </w:r>
      <w:r w:rsidRPr="00281216">
        <w:rPr>
          <w:rtl/>
        </w:rPr>
        <w:t xml:space="preserve"> 1554/95 </w:t>
      </w:r>
      <w:r w:rsidRPr="00281216">
        <w:rPr>
          <w:rFonts w:ascii="Century" w:hAnsi="Century" w:cs="Miriam" w:hint="eastAsia"/>
          <w:b/>
          <w:spacing w:val="0"/>
          <w:sz w:val="22"/>
          <w:szCs w:val="24"/>
          <w:rtl/>
        </w:rPr>
        <w:t>עמותת</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שוחרי</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גיל</w:t>
      </w:r>
      <w:r w:rsidRPr="00281216">
        <w:rPr>
          <w:rFonts w:ascii="Century" w:hAnsi="Century" w:cs="Miriam"/>
          <w:b/>
          <w:spacing w:val="0"/>
          <w:sz w:val="22"/>
          <w:szCs w:val="24"/>
          <w:rtl/>
        </w:rPr>
        <w:t>"</w:t>
      </w:r>
      <w:r w:rsidRPr="00281216">
        <w:rPr>
          <w:rFonts w:ascii="Century" w:hAnsi="Century" w:cs="Miriam" w:hint="eastAsia"/>
          <w:b/>
          <w:spacing w:val="0"/>
          <w:sz w:val="22"/>
          <w:szCs w:val="24"/>
          <w:rtl/>
        </w:rPr>
        <w:t>ת</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נ</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שר</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החינוך</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התרבות</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והספורט</w:t>
      </w:r>
      <w:r w:rsidRPr="00281216">
        <w:rPr>
          <w:rtl/>
        </w:rPr>
        <w:t xml:space="preserve">, </w:t>
      </w:r>
      <w:r w:rsidRPr="00281216">
        <w:rPr>
          <w:rFonts w:hint="eastAsia"/>
          <w:rtl/>
        </w:rPr>
        <w:t>פ</w:t>
      </w:r>
      <w:r w:rsidRPr="00281216">
        <w:rPr>
          <w:rtl/>
        </w:rPr>
        <w:t>"</w:t>
      </w:r>
      <w:r w:rsidRPr="00281216">
        <w:rPr>
          <w:rFonts w:hint="eastAsia"/>
          <w:rtl/>
        </w:rPr>
        <w:t>ד</w:t>
      </w:r>
      <w:r w:rsidRPr="00281216">
        <w:rPr>
          <w:rtl/>
        </w:rPr>
        <w:t xml:space="preserve"> </w:t>
      </w:r>
      <w:r w:rsidRPr="00281216">
        <w:rPr>
          <w:rFonts w:hint="eastAsia"/>
          <w:rtl/>
        </w:rPr>
        <w:t>נ</w:t>
      </w:r>
      <w:r w:rsidRPr="00281216">
        <w:rPr>
          <w:rtl/>
        </w:rPr>
        <w:t xml:space="preserve">(3) 2, 25-24 (1996); </w:t>
      </w:r>
      <w:r w:rsidRPr="00281216">
        <w:rPr>
          <w:rFonts w:hint="eastAsia"/>
          <w:rtl/>
        </w:rPr>
        <w:t>כמו</w:t>
      </w:r>
      <w:r w:rsidRPr="00281216">
        <w:rPr>
          <w:rtl/>
        </w:rPr>
        <w:t xml:space="preserve"> </w:t>
      </w:r>
      <w:r w:rsidRPr="00281216">
        <w:rPr>
          <w:rFonts w:hint="eastAsia"/>
          <w:rtl/>
        </w:rPr>
        <w:t>כן</w:t>
      </w:r>
      <w:r w:rsidRPr="00281216">
        <w:rPr>
          <w:rtl/>
        </w:rPr>
        <w:t xml:space="preserve">, </w:t>
      </w:r>
      <w:r w:rsidRPr="00281216">
        <w:rPr>
          <w:rFonts w:hint="eastAsia"/>
          <w:rtl/>
        </w:rPr>
        <w:t>ראו</w:t>
      </w:r>
      <w:r w:rsidRPr="00281216">
        <w:rPr>
          <w:rtl/>
        </w:rPr>
        <w:t xml:space="preserve"> </w:t>
      </w:r>
      <w:r w:rsidRPr="00281216">
        <w:rPr>
          <w:rFonts w:hint="eastAsia"/>
          <w:rtl/>
        </w:rPr>
        <w:t>דברי</w:t>
      </w:r>
      <w:r w:rsidRPr="00281216">
        <w:rPr>
          <w:rtl/>
        </w:rPr>
        <w:t xml:space="preserve"> </w:t>
      </w:r>
      <w:r w:rsidRPr="00281216">
        <w:rPr>
          <w:rFonts w:hint="eastAsia"/>
          <w:rtl/>
        </w:rPr>
        <w:t>השופט</w:t>
      </w:r>
      <w:r w:rsidRPr="00281216">
        <w:rPr>
          <w:rtl/>
        </w:rPr>
        <w:t xml:space="preserve"> </w:t>
      </w:r>
      <w:r w:rsidRPr="00281216">
        <w:rPr>
          <w:rFonts w:ascii="Century" w:hAnsi="Century" w:cs="Miriam" w:hint="eastAsia"/>
          <w:b/>
          <w:spacing w:val="0"/>
          <w:sz w:val="22"/>
          <w:szCs w:val="24"/>
          <w:rtl/>
        </w:rPr>
        <w:t>ד</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לוין</w:t>
      </w:r>
      <w:r w:rsidRPr="00281216">
        <w:rPr>
          <w:rtl/>
        </w:rPr>
        <w:t xml:space="preserve"> </w:t>
      </w:r>
      <w:r w:rsidRPr="00281216">
        <w:rPr>
          <w:rFonts w:hint="eastAsia"/>
          <w:rtl/>
        </w:rPr>
        <w:t>ב</w:t>
      </w:r>
      <w:r w:rsidRPr="000871DC">
        <w:rPr>
          <w:rFonts w:hint="eastAsia"/>
          <w:rtl/>
        </w:rPr>
        <w:t>ע</w:t>
      </w:r>
      <w:r w:rsidRPr="000871DC">
        <w:rPr>
          <w:rtl/>
        </w:rPr>
        <w:t>"</w:t>
      </w:r>
      <w:r w:rsidRPr="000871DC">
        <w:rPr>
          <w:rFonts w:hint="eastAsia"/>
          <w:rtl/>
        </w:rPr>
        <w:t>א</w:t>
      </w:r>
      <w:r w:rsidRPr="000871DC">
        <w:rPr>
          <w:rFonts w:ascii="FrankRuehl" w:hAnsi="FrankRuehl"/>
          <w:color w:val="222222"/>
          <w:spacing w:val="0"/>
          <w:sz w:val="28"/>
          <w:rtl/>
        </w:rPr>
        <w:t xml:space="preserve"> 6821/93</w:t>
      </w:r>
      <w:r w:rsidRPr="000871DC">
        <w:rPr>
          <w:rFonts w:ascii="Arial" w:hAnsi="Arial" w:cs="Arial" w:hint="eastAsia"/>
          <w:color w:val="222222"/>
          <w:spacing w:val="0"/>
          <w:sz w:val="28"/>
          <w:rtl/>
        </w:rPr>
        <w:t> </w:t>
      </w:r>
      <w:r w:rsidRPr="000871DC">
        <w:rPr>
          <w:rFonts w:ascii="Miriam" w:hAnsi="Miriam" w:cs="Miriam"/>
          <w:color w:val="222222"/>
          <w:spacing w:val="0"/>
          <w:szCs w:val="24"/>
          <w:rtl/>
        </w:rPr>
        <w:t>בנק המזרחי המאוחד בע"מ נ' מגדל כפר שיתופי</w:t>
      </w:r>
      <w:r w:rsidRPr="000871DC">
        <w:rPr>
          <w:rFonts w:ascii="FrankRuehl" w:hAnsi="FrankRuehl"/>
          <w:color w:val="222222"/>
          <w:spacing w:val="0"/>
          <w:sz w:val="28"/>
          <w:rtl/>
        </w:rPr>
        <w:t>, פ"ד מט(4) 221</w:t>
      </w:r>
      <w:r>
        <w:rPr>
          <w:rFonts w:ascii="FrankRuehl" w:hAnsi="FrankRuehl" w:hint="cs"/>
          <w:color w:val="222222"/>
          <w:spacing w:val="0"/>
          <w:sz w:val="28"/>
          <w:rtl/>
        </w:rPr>
        <w:t xml:space="preserve">, </w:t>
      </w:r>
      <w:r w:rsidRPr="00281216">
        <w:rPr>
          <w:rFonts w:ascii="FrankRuehl" w:hAnsi="FrankRuehl"/>
          <w:color w:val="222222"/>
          <w:spacing w:val="0"/>
          <w:sz w:val="28"/>
          <w:rtl/>
        </w:rPr>
        <w:t>455-450</w:t>
      </w:r>
      <w:r w:rsidRPr="000871DC">
        <w:rPr>
          <w:rFonts w:ascii="FrankRuehl" w:hAnsi="FrankRuehl"/>
          <w:color w:val="222222"/>
          <w:spacing w:val="0"/>
          <w:sz w:val="28"/>
          <w:rtl/>
        </w:rPr>
        <w:t xml:space="preserve"> (1995)</w:t>
      </w:r>
      <w:r>
        <w:rPr>
          <w:rFonts w:ascii="FrankRuehl" w:hAnsi="FrankRuehl" w:hint="cs"/>
          <w:color w:val="222222"/>
          <w:spacing w:val="0"/>
          <w:sz w:val="28"/>
          <w:rtl/>
        </w:rPr>
        <w:t xml:space="preserve"> (להלן: </w:t>
      </w:r>
      <w:r w:rsidRPr="00281216">
        <w:rPr>
          <w:rFonts w:ascii="Century" w:hAnsi="Century" w:hint="eastAsia"/>
          <w:sz w:val="22"/>
          <w:rtl/>
        </w:rPr>
        <w:t>עניין</w:t>
      </w:r>
      <w:r w:rsidRPr="00281216">
        <w:rPr>
          <w:rFonts w:cs="Miriam"/>
          <w:b/>
          <w:spacing w:val="0"/>
          <w:szCs w:val="24"/>
          <w:rtl/>
        </w:rPr>
        <w:t xml:space="preserve"> </w:t>
      </w:r>
      <w:r w:rsidRPr="00281216">
        <w:rPr>
          <w:rFonts w:cs="Miriam" w:hint="eastAsia"/>
          <w:b/>
          <w:spacing w:val="0"/>
          <w:szCs w:val="24"/>
          <w:rtl/>
        </w:rPr>
        <w:t>בנק</w:t>
      </w:r>
      <w:r w:rsidRPr="00281216">
        <w:rPr>
          <w:rFonts w:cs="Miriam"/>
          <w:b/>
          <w:spacing w:val="0"/>
          <w:szCs w:val="24"/>
          <w:rtl/>
        </w:rPr>
        <w:t xml:space="preserve"> </w:t>
      </w:r>
      <w:r>
        <w:rPr>
          <w:rFonts w:cs="Miriam" w:hint="cs"/>
          <w:b/>
          <w:spacing w:val="0"/>
          <w:szCs w:val="24"/>
          <w:rtl/>
        </w:rPr>
        <w:t>ה</w:t>
      </w:r>
      <w:r w:rsidRPr="00281216">
        <w:rPr>
          <w:rFonts w:cs="Miriam" w:hint="eastAsia"/>
          <w:b/>
          <w:spacing w:val="0"/>
          <w:szCs w:val="24"/>
          <w:rtl/>
        </w:rPr>
        <w:t>מזרחי</w:t>
      </w:r>
      <w:r>
        <w:rPr>
          <w:rFonts w:ascii="Century" w:hAnsi="Century" w:hint="cs"/>
          <w:sz w:val="22"/>
          <w:rtl/>
        </w:rPr>
        <w:t>)</w:t>
      </w:r>
      <w:r w:rsidRPr="00281216">
        <w:rPr>
          <w:rFonts w:ascii="FrankRuehl" w:hAnsi="FrankRuehl"/>
          <w:color w:val="222222"/>
          <w:spacing w:val="0"/>
          <w:sz w:val="28"/>
          <w:rtl/>
        </w:rPr>
        <w:t xml:space="preserve">; </w:t>
      </w:r>
      <w:r w:rsidRPr="00281216">
        <w:rPr>
          <w:rFonts w:ascii="FrankRuehl" w:hAnsi="FrankRuehl" w:hint="eastAsia"/>
          <w:color w:val="222222"/>
          <w:spacing w:val="0"/>
          <w:sz w:val="28"/>
          <w:rtl/>
        </w:rPr>
        <w:t>בג</w:t>
      </w:r>
      <w:r w:rsidRPr="00281216">
        <w:rPr>
          <w:rFonts w:ascii="FrankRuehl" w:hAnsi="FrankRuehl"/>
          <w:color w:val="222222"/>
          <w:spacing w:val="0"/>
          <w:sz w:val="28"/>
          <w:rtl/>
        </w:rPr>
        <w:t>"</w:t>
      </w:r>
      <w:r w:rsidRPr="00281216">
        <w:rPr>
          <w:rFonts w:ascii="FrankRuehl" w:hAnsi="FrankRuehl" w:hint="eastAsia"/>
          <w:color w:val="222222"/>
          <w:spacing w:val="0"/>
          <w:sz w:val="28"/>
          <w:rtl/>
        </w:rPr>
        <w:t>ץ</w:t>
      </w:r>
      <w:r w:rsidRPr="00281216">
        <w:rPr>
          <w:rFonts w:ascii="FrankRuehl" w:hAnsi="FrankRuehl"/>
          <w:color w:val="222222"/>
          <w:spacing w:val="0"/>
          <w:sz w:val="28"/>
          <w:rtl/>
        </w:rPr>
        <w:t xml:space="preserve"> 6427/02 </w:t>
      </w:r>
      <w:r w:rsidRPr="00281216">
        <w:rPr>
          <w:rFonts w:ascii="Century" w:hAnsi="Century" w:cs="Miriam" w:hint="eastAsia"/>
          <w:b/>
          <w:spacing w:val="0"/>
          <w:sz w:val="22"/>
          <w:szCs w:val="24"/>
          <w:rtl/>
        </w:rPr>
        <w:t>התנועה</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לאיכות</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השלטון</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בישראל</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נ</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הכנסת</w:t>
      </w:r>
      <w:r w:rsidRPr="00281216">
        <w:rPr>
          <w:rFonts w:ascii="FrankRuehl" w:hAnsi="FrankRuehl"/>
          <w:color w:val="222222"/>
          <w:spacing w:val="0"/>
          <w:sz w:val="28"/>
          <w:rtl/>
        </w:rPr>
        <w:t xml:space="preserve">, </w:t>
      </w:r>
      <w:r w:rsidRPr="00281216">
        <w:rPr>
          <w:rFonts w:ascii="FrankRuehl" w:hAnsi="FrankRuehl" w:hint="eastAsia"/>
          <w:color w:val="222222"/>
          <w:spacing w:val="0"/>
          <w:sz w:val="28"/>
          <w:rtl/>
        </w:rPr>
        <w:t>פ</w:t>
      </w:r>
      <w:r w:rsidRPr="00281216">
        <w:rPr>
          <w:rFonts w:ascii="FrankRuehl" w:hAnsi="FrankRuehl"/>
          <w:color w:val="222222"/>
          <w:spacing w:val="0"/>
          <w:sz w:val="28"/>
          <w:rtl/>
        </w:rPr>
        <w:t xml:space="preserve">"ד </w:t>
      </w:r>
      <w:r w:rsidRPr="00281216">
        <w:rPr>
          <w:rFonts w:ascii="FrankRuehl" w:hAnsi="FrankRuehl" w:hint="eastAsia"/>
          <w:color w:val="222222"/>
          <w:spacing w:val="0"/>
          <w:sz w:val="28"/>
          <w:rtl/>
        </w:rPr>
        <w:t>סא</w:t>
      </w:r>
      <w:r w:rsidRPr="00281216">
        <w:rPr>
          <w:rFonts w:ascii="FrankRuehl" w:hAnsi="FrankRuehl"/>
          <w:color w:val="222222"/>
          <w:spacing w:val="0"/>
          <w:sz w:val="28"/>
          <w:rtl/>
        </w:rPr>
        <w:t xml:space="preserve">(1) 619, </w:t>
      </w:r>
      <w:r w:rsidRPr="00281216">
        <w:rPr>
          <w:rFonts w:ascii="FrankRuehl" w:hAnsi="FrankRuehl" w:hint="eastAsia"/>
          <w:color w:val="222222"/>
          <w:spacing w:val="0"/>
          <w:sz w:val="28"/>
          <w:rtl/>
        </w:rPr>
        <w:t>פסקה</w:t>
      </w:r>
      <w:r w:rsidRPr="00281216">
        <w:rPr>
          <w:rFonts w:ascii="FrankRuehl" w:hAnsi="FrankRuehl"/>
          <w:color w:val="222222"/>
          <w:spacing w:val="0"/>
          <w:sz w:val="28"/>
          <w:rtl/>
        </w:rPr>
        <w:t xml:space="preserve"> 40 </w:t>
      </w:r>
      <w:r w:rsidRPr="00281216">
        <w:rPr>
          <w:rFonts w:ascii="FrankRuehl" w:hAnsi="FrankRuehl" w:hint="eastAsia"/>
          <w:color w:val="222222"/>
          <w:spacing w:val="0"/>
          <w:sz w:val="28"/>
          <w:rtl/>
        </w:rPr>
        <w:t>לפסק</w:t>
      </w:r>
      <w:r w:rsidRPr="00281216">
        <w:rPr>
          <w:rFonts w:ascii="FrankRuehl" w:hAnsi="FrankRuehl"/>
          <w:color w:val="222222"/>
          <w:spacing w:val="0"/>
          <w:sz w:val="28"/>
          <w:rtl/>
        </w:rPr>
        <w:t xml:space="preserve"> </w:t>
      </w:r>
      <w:r w:rsidRPr="00281216">
        <w:rPr>
          <w:rFonts w:ascii="FrankRuehl" w:hAnsi="FrankRuehl" w:hint="eastAsia"/>
          <w:color w:val="222222"/>
          <w:spacing w:val="0"/>
          <w:sz w:val="28"/>
          <w:rtl/>
        </w:rPr>
        <w:t>דינו</w:t>
      </w:r>
      <w:r w:rsidRPr="00281216">
        <w:rPr>
          <w:rFonts w:ascii="FrankRuehl" w:hAnsi="FrankRuehl"/>
          <w:color w:val="222222"/>
          <w:spacing w:val="0"/>
          <w:sz w:val="28"/>
          <w:rtl/>
        </w:rPr>
        <w:t xml:space="preserve"> </w:t>
      </w:r>
      <w:r w:rsidRPr="003F1CA6">
        <w:rPr>
          <w:rFonts w:ascii="Century" w:hAnsi="Century" w:hint="eastAsia"/>
          <w:sz w:val="22"/>
          <w:rtl/>
        </w:rPr>
        <w:t>של</w:t>
      </w:r>
      <w:r w:rsidRPr="003F1CA6">
        <w:rPr>
          <w:rFonts w:ascii="Century" w:hAnsi="Century"/>
          <w:sz w:val="22"/>
          <w:rtl/>
        </w:rPr>
        <w:t xml:space="preserve"> </w:t>
      </w:r>
      <w:r w:rsidRPr="003F1CA6">
        <w:rPr>
          <w:rFonts w:ascii="Century" w:hAnsi="Century" w:hint="eastAsia"/>
          <w:sz w:val="22"/>
          <w:rtl/>
        </w:rPr>
        <w:t>הנשיא</w:t>
      </w:r>
      <w:r w:rsidRPr="003F1CA6">
        <w:rPr>
          <w:rFonts w:ascii="FrankRuehl" w:hAnsi="FrankRuehl"/>
          <w:color w:val="222222"/>
          <w:spacing w:val="0"/>
          <w:sz w:val="28"/>
          <w:rtl/>
        </w:rPr>
        <w:t xml:space="preserve"> </w:t>
      </w:r>
      <w:r w:rsidRPr="00281216">
        <w:rPr>
          <w:rFonts w:ascii="Century" w:hAnsi="Century" w:cs="Miriam" w:hint="eastAsia"/>
          <w:b/>
          <w:spacing w:val="0"/>
          <w:sz w:val="22"/>
          <w:szCs w:val="24"/>
          <w:rtl/>
        </w:rPr>
        <w:t>א</w:t>
      </w:r>
      <w:r w:rsidRPr="00281216">
        <w:rPr>
          <w:rFonts w:ascii="Century" w:hAnsi="Century" w:cs="Miriam"/>
          <w:b/>
          <w:spacing w:val="0"/>
          <w:sz w:val="22"/>
          <w:szCs w:val="24"/>
          <w:rtl/>
        </w:rPr>
        <w:t xml:space="preserve">' </w:t>
      </w:r>
      <w:r w:rsidRPr="00281216">
        <w:rPr>
          <w:rFonts w:ascii="Century" w:hAnsi="Century" w:cs="Miriam" w:hint="eastAsia"/>
          <w:b/>
          <w:spacing w:val="0"/>
          <w:sz w:val="22"/>
          <w:szCs w:val="24"/>
          <w:rtl/>
        </w:rPr>
        <w:t>ברק</w:t>
      </w:r>
      <w:r w:rsidRPr="00281216">
        <w:rPr>
          <w:rFonts w:ascii="FrankRuehl" w:hAnsi="FrankRuehl"/>
          <w:color w:val="222222"/>
          <w:spacing w:val="0"/>
          <w:sz w:val="28"/>
          <w:rtl/>
        </w:rPr>
        <w:t xml:space="preserve"> (2006) (להלן: </w:t>
      </w:r>
      <w:r w:rsidRPr="00281216">
        <w:rPr>
          <w:rFonts w:ascii="Century" w:hAnsi="Century" w:cs="Miriam" w:hint="eastAsia"/>
          <w:b/>
          <w:spacing w:val="0"/>
          <w:sz w:val="22"/>
          <w:szCs w:val="24"/>
          <w:rtl/>
        </w:rPr>
        <w:t>בג</w:t>
      </w:r>
      <w:r w:rsidRPr="00281216">
        <w:rPr>
          <w:rFonts w:ascii="Century" w:hAnsi="Century" w:cs="Miriam"/>
          <w:b/>
          <w:spacing w:val="0"/>
          <w:sz w:val="22"/>
          <w:szCs w:val="24"/>
          <w:rtl/>
        </w:rPr>
        <w:t>"</w:t>
      </w:r>
      <w:r w:rsidRPr="00281216">
        <w:rPr>
          <w:rFonts w:ascii="Century" w:hAnsi="Century" w:cs="Miriam" w:hint="eastAsia"/>
          <w:b/>
          <w:spacing w:val="0"/>
          <w:sz w:val="22"/>
          <w:szCs w:val="24"/>
          <w:rtl/>
        </w:rPr>
        <w:t>ץ</w:t>
      </w:r>
      <w:r w:rsidRPr="00281216">
        <w:rPr>
          <w:rFonts w:ascii="Century" w:hAnsi="Century" w:cs="Miriam"/>
          <w:b/>
          <w:spacing w:val="0"/>
          <w:sz w:val="22"/>
          <w:szCs w:val="24"/>
          <w:rtl/>
        </w:rPr>
        <w:t xml:space="preserve"> 6427/02</w:t>
      </w:r>
      <w:r w:rsidRPr="00281216">
        <w:rPr>
          <w:rFonts w:ascii="FrankRuehl" w:hAnsi="FrankRuehl"/>
          <w:color w:val="222222"/>
          <w:spacing w:val="0"/>
          <w:sz w:val="28"/>
          <w:rtl/>
        </w:rPr>
        <w:t xml:space="preserve">); </w:t>
      </w:r>
      <w:r w:rsidRPr="00281216">
        <w:rPr>
          <w:rFonts w:hint="eastAsia"/>
          <w:rtl/>
        </w:rPr>
        <w:t>אהרן</w:t>
      </w:r>
      <w:r w:rsidRPr="00281216">
        <w:rPr>
          <w:rtl/>
        </w:rPr>
        <w:t xml:space="preserve"> </w:t>
      </w:r>
      <w:r w:rsidRPr="00281216">
        <w:rPr>
          <w:rFonts w:hint="eastAsia"/>
          <w:rtl/>
        </w:rPr>
        <w:t>ברק</w:t>
      </w:r>
      <w:r w:rsidRPr="00281216">
        <w:rPr>
          <w:rtl/>
        </w:rPr>
        <w:t xml:space="preserve"> </w:t>
      </w:r>
      <w:r w:rsidRPr="00281216">
        <w:rPr>
          <w:rFonts w:cs="Miriam" w:hint="eastAsia"/>
          <w:b/>
          <w:spacing w:val="0"/>
          <w:szCs w:val="24"/>
          <w:rtl/>
        </w:rPr>
        <w:t>פרשנות</w:t>
      </w:r>
      <w:r w:rsidRPr="00281216">
        <w:rPr>
          <w:rFonts w:cs="Miriam"/>
          <w:b/>
          <w:spacing w:val="0"/>
          <w:szCs w:val="24"/>
          <w:rtl/>
        </w:rPr>
        <w:t xml:space="preserve"> </w:t>
      </w:r>
      <w:r w:rsidRPr="00281216">
        <w:rPr>
          <w:rFonts w:cs="Miriam" w:hint="eastAsia"/>
          <w:b/>
          <w:spacing w:val="0"/>
          <w:szCs w:val="24"/>
          <w:rtl/>
        </w:rPr>
        <w:t>במשפט</w:t>
      </w:r>
      <w:r w:rsidRPr="00281216">
        <w:rPr>
          <w:rFonts w:cs="Miriam"/>
          <w:b/>
          <w:spacing w:val="0"/>
          <w:szCs w:val="24"/>
          <w:rtl/>
        </w:rPr>
        <w:t xml:space="preserve"> – </w:t>
      </w:r>
      <w:r w:rsidRPr="00281216">
        <w:rPr>
          <w:rFonts w:cs="Miriam" w:hint="eastAsia"/>
          <w:b/>
          <w:spacing w:val="0"/>
          <w:szCs w:val="24"/>
          <w:rtl/>
        </w:rPr>
        <w:t>פרשנות</w:t>
      </w:r>
      <w:r w:rsidRPr="00281216">
        <w:rPr>
          <w:rFonts w:cs="Miriam"/>
          <w:b/>
          <w:spacing w:val="0"/>
          <w:szCs w:val="24"/>
          <w:rtl/>
        </w:rPr>
        <w:t xml:space="preserve"> </w:t>
      </w:r>
      <w:r w:rsidRPr="00281216">
        <w:rPr>
          <w:rFonts w:cs="Miriam" w:hint="eastAsia"/>
          <w:b/>
          <w:spacing w:val="0"/>
          <w:szCs w:val="24"/>
          <w:rtl/>
        </w:rPr>
        <w:t>חוקתית</w:t>
      </w:r>
      <w:r w:rsidRPr="00281216">
        <w:rPr>
          <w:rFonts w:cs="Miriam"/>
          <w:b/>
          <w:spacing w:val="0"/>
          <w:szCs w:val="24"/>
          <w:rtl/>
        </w:rPr>
        <w:t xml:space="preserve"> </w:t>
      </w:r>
      <w:r w:rsidRPr="00281216">
        <w:rPr>
          <w:rFonts w:hint="eastAsia"/>
          <w:rtl/>
        </w:rPr>
        <w:t>כרך</w:t>
      </w:r>
      <w:r w:rsidRPr="00281216">
        <w:rPr>
          <w:rtl/>
        </w:rPr>
        <w:t xml:space="preserve"> </w:t>
      </w:r>
      <w:r w:rsidRPr="00281216">
        <w:rPr>
          <w:rFonts w:hint="eastAsia"/>
          <w:rtl/>
        </w:rPr>
        <w:t>שלישי</w:t>
      </w:r>
      <w:r w:rsidRPr="00281216">
        <w:rPr>
          <w:rtl/>
        </w:rPr>
        <w:t xml:space="preserve"> </w:t>
      </w:r>
      <w:r w:rsidRPr="00281216">
        <w:rPr>
          <w:rFonts w:ascii="Century" w:hAnsi="Century"/>
          <w:sz w:val="22"/>
          <w:rtl/>
        </w:rPr>
        <w:t>305 (1994)</w:t>
      </w:r>
      <w:r w:rsidRPr="00281216">
        <w:rPr>
          <w:rtl/>
        </w:rPr>
        <w:t xml:space="preserve">; </w:t>
      </w:r>
      <w:r w:rsidRPr="00281216">
        <w:rPr>
          <w:rFonts w:ascii="Century" w:hAnsi="Century" w:hint="eastAsia"/>
          <w:rtl/>
        </w:rPr>
        <w:t>אהרן</w:t>
      </w:r>
      <w:r w:rsidRPr="00281216">
        <w:rPr>
          <w:rFonts w:ascii="Century" w:hAnsi="Century"/>
          <w:rtl/>
        </w:rPr>
        <w:t xml:space="preserve"> </w:t>
      </w:r>
      <w:r w:rsidRPr="00281216">
        <w:rPr>
          <w:rFonts w:ascii="Century" w:hAnsi="Century" w:hint="eastAsia"/>
          <w:rtl/>
        </w:rPr>
        <w:t>ברק</w:t>
      </w:r>
      <w:r w:rsidRPr="00281216">
        <w:rPr>
          <w:rFonts w:ascii="Century" w:hAnsi="Century"/>
          <w:rtl/>
        </w:rPr>
        <w:t xml:space="preserve"> </w:t>
      </w:r>
      <w:r w:rsidRPr="00281216">
        <w:rPr>
          <w:rFonts w:ascii="Century" w:hAnsi="Century" w:cs="Miriam" w:hint="eastAsia"/>
          <w:b/>
          <w:spacing w:val="0"/>
          <w:szCs w:val="24"/>
          <w:rtl/>
        </w:rPr>
        <w:t>כבוד</w:t>
      </w:r>
      <w:r w:rsidRPr="00281216">
        <w:rPr>
          <w:rFonts w:ascii="Century" w:hAnsi="Century" w:cs="Miriam"/>
          <w:b/>
          <w:spacing w:val="0"/>
          <w:szCs w:val="24"/>
          <w:rtl/>
        </w:rPr>
        <w:t xml:space="preserve"> </w:t>
      </w:r>
      <w:r w:rsidRPr="00281216">
        <w:rPr>
          <w:rFonts w:ascii="Century" w:hAnsi="Century" w:cs="Miriam" w:hint="eastAsia"/>
          <w:b/>
          <w:spacing w:val="0"/>
          <w:szCs w:val="24"/>
          <w:rtl/>
        </w:rPr>
        <w:t>האדם</w:t>
      </w:r>
      <w:r w:rsidRPr="00281216">
        <w:rPr>
          <w:rFonts w:ascii="Century" w:hAnsi="Century" w:cs="Miriam"/>
          <w:b/>
          <w:spacing w:val="0"/>
          <w:szCs w:val="24"/>
          <w:rtl/>
        </w:rPr>
        <w:t xml:space="preserve"> – </w:t>
      </w:r>
      <w:r w:rsidRPr="00281216">
        <w:rPr>
          <w:rFonts w:ascii="Century" w:hAnsi="Century" w:cs="Miriam" w:hint="eastAsia"/>
          <w:b/>
          <w:spacing w:val="0"/>
          <w:szCs w:val="24"/>
          <w:rtl/>
        </w:rPr>
        <w:t>הזכות</w:t>
      </w:r>
      <w:r w:rsidRPr="00281216">
        <w:rPr>
          <w:rFonts w:ascii="Century" w:hAnsi="Century" w:cs="Miriam"/>
          <w:b/>
          <w:spacing w:val="0"/>
          <w:szCs w:val="24"/>
          <w:rtl/>
        </w:rPr>
        <w:t xml:space="preserve"> </w:t>
      </w:r>
      <w:r w:rsidRPr="00281216">
        <w:rPr>
          <w:rFonts w:ascii="Century" w:hAnsi="Century" w:cs="Miriam" w:hint="eastAsia"/>
          <w:b/>
          <w:spacing w:val="0"/>
          <w:szCs w:val="24"/>
          <w:rtl/>
        </w:rPr>
        <w:t>החוקתית</w:t>
      </w:r>
      <w:r w:rsidRPr="00281216">
        <w:rPr>
          <w:rFonts w:ascii="Century" w:hAnsi="Century" w:cs="Miriam"/>
          <w:b/>
          <w:spacing w:val="0"/>
          <w:szCs w:val="24"/>
          <w:rtl/>
        </w:rPr>
        <w:t xml:space="preserve"> </w:t>
      </w:r>
      <w:r w:rsidRPr="00281216">
        <w:rPr>
          <w:rFonts w:ascii="Century" w:hAnsi="Century" w:cs="Miriam" w:hint="eastAsia"/>
          <w:b/>
          <w:spacing w:val="0"/>
          <w:szCs w:val="24"/>
          <w:rtl/>
        </w:rPr>
        <w:t>ובנותיה</w:t>
      </w:r>
      <w:r w:rsidRPr="00281216">
        <w:rPr>
          <w:rFonts w:ascii="Century" w:hAnsi="Century" w:cs="Miriam"/>
          <w:b/>
          <w:spacing w:val="0"/>
          <w:szCs w:val="24"/>
          <w:rtl/>
        </w:rPr>
        <w:t xml:space="preserve"> </w:t>
      </w:r>
      <w:r w:rsidRPr="00281216">
        <w:rPr>
          <w:rFonts w:ascii="Century" w:hAnsi="Century"/>
          <w:rtl/>
        </w:rPr>
        <w:t>266-263 (2014)</w:t>
      </w:r>
      <w:r w:rsidRPr="00281216">
        <w:rPr>
          <w:rFonts w:ascii="FrankRuehl" w:hAnsi="FrankRuehl"/>
          <w:color w:val="222222"/>
          <w:spacing w:val="0"/>
          <w:sz w:val="28"/>
          <w:rtl/>
        </w:rPr>
        <w:t xml:space="preserve">; </w:t>
      </w:r>
      <w:r w:rsidRPr="00281216">
        <w:rPr>
          <w:rFonts w:hint="eastAsia"/>
          <w:rtl/>
        </w:rPr>
        <w:t>וכן</w:t>
      </w:r>
      <w:r w:rsidRPr="00281216">
        <w:rPr>
          <w:rtl/>
        </w:rPr>
        <w:t xml:space="preserve">, </w:t>
      </w:r>
      <w:r w:rsidRPr="00281216">
        <w:rPr>
          <w:rFonts w:hint="eastAsia"/>
          <w:rtl/>
        </w:rPr>
        <w:t>אהרן</w:t>
      </w:r>
      <w:r w:rsidRPr="00281216">
        <w:rPr>
          <w:rtl/>
        </w:rPr>
        <w:t xml:space="preserve"> </w:t>
      </w:r>
      <w:r w:rsidRPr="00281216">
        <w:rPr>
          <w:rFonts w:hint="eastAsia"/>
          <w:rtl/>
        </w:rPr>
        <w:t>ברק</w:t>
      </w:r>
      <w:r w:rsidRPr="00281216">
        <w:rPr>
          <w:rtl/>
        </w:rPr>
        <w:t xml:space="preserve"> "</w:t>
      </w:r>
      <w:r w:rsidRPr="00281216">
        <w:rPr>
          <w:rFonts w:hint="eastAsia"/>
          <w:rtl/>
        </w:rPr>
        <w:t>מגילת</w:t>
      </w:r>
      <w:r w:rsidRPr="00281216">
        <w:rPr>
          <w:rtl/>
        </w:rPr>
        <w:t xml:space="preserve"> </w:t>
      </w:r>
      <w:r w:rsidRPr="00281216">
        <w:rPr>
          <w:rFonts w:hint="eastAsia"/>
          <w:rtl/>
        </w:rPr>
        <w:t>העצמאות</w:t>
      </w:r>
      <w:r w:rsidRPr="00281216">
        <w:rPr>
          <w:rtl/>
        </w:rPr>
        <w:t xml:space="preserve"> </w:t>
      </w:r>
      <w:r w:rsidRPr="00281216">
        <w:rPr>
          <w:rFonts w:hint="eastAsia"/>
          <w:rtl/>
        </w:rPr>
        <w:t>והכנסת</w:t>
      </w:r>
      <w:r w:rsidRPr="00281216">
        <w:rPr>
          <w:rtl/>
        </w:rPr>
        <w:t xml:space="preserve"> </w:t>
      </w:r>
      <w:r w:rsidRPr="00281216">
        <w:rPr>
          <w:rFonts w:hint="eastAsia"/>
          <w:rtl/>
        </w:rPr>
        <w:t>כרשות</w:t>
      </w:r>
      <w:r w:rsidRPr="00281216">
        <w:rPr>
          <w:rtl/>
        </w:rPr>
        <w:t xml:space="preserve"> </w:t>
      </w:r>
      <w:r w:rsidRPr="00281216">
        <w:rPr>
          <w:rFonts w:hint="eastAsia"/>
          <w:rtl/>
        </w:rPr>
        <w:t>מכוננת</w:t>
      </w:r>
      <w:r w:rsidRPr="00281216">
        <w:rPr>
          <w:rtl/>
        </w:rPr>
        <w:t xml:space="preserve">" </w:t>
      </w:r>
      <w:r w:rsidRPr="00281216">
        <w:rPr>
          <w:rFonts w:ascii="Century" w:hAnsi="Century" w:cs="Miriam" w:hint="eastAsia"/>
          <w:b/>
          <w:spacing w:val="0"/>
          <w:sz w:val="22"/>
          <w:szCs w:val="24"/>
          <w:rtl/>
        </w:rPr>
        <w:t>חוקים</w:t>
      </w:r>
      <w:r w:rsidRPr="00281216">
        <w:rPr>
          <w:rtl/>
        </w:rPr>
        <w:t xml:space="preserve"> </w:t>
      </w:r>
      <w:r w:rsidRPr="00281216">
        <w:rPr>
          <w:rFonts w:hint="eastAsia"/>
          <w:rtl/>
        </w:rPr>
        <w:t>יא</w:t>
      </w:r>
      <w:r w:rsidRPr="00281216">
        <w:rPr>
          <w:rtl/>
        </w:rPr>
        <w:t xml:space="preserve"> 9, 19 (2018)).</w:t>
      </w:r>
    </w:p>
    <w:p w:rsidR="00553FDC" w:rsidRPr="00297DD9" w:rsidRDefault="00553FDC" w:rsidP="00553FDC">
      <w:pPr>
        <w:pStyle w:val="Ruller4"/>
        <w:numPr>
          <w:ilvl w:val="0"/>
          <w:numId w:val="0"/>
        </w:numPr>
        <w:rPr>
          <w:rFonts w:ascii="FrankRuehl" w:hAnsi="FrankRuehl"/>
          <w:color w:val="222222"/>
          <w:spacing w:val="0"/>
          <w:sz w:val="28"/>
        </w:rPr>
      </w:pPr>
    </w:p>
    <w:p w:rsidR="00553FDC" w:rsidRPr="003F1CA6" w:rsidRDefault="00553FDC" w:rsidP="00553FDC">
      <w:pPr>
        <w:pStyle w:val="Ruller4"/>
        <w:rPr>
          <w:rFonts w:ascii="Century" w:hAnsi="Century"/>
          <w:sz w:val="22"/>
        </w:rPr>
      </w:pPr>
      <w:r w:rsidRPr="003F1CA6">
        <w:rPr>
          <w:rFonts w:ascii="Century" w:hAnsi="Century" w:hint="cs"/>
          <w:sz w:val="22"/>
          <w:rtl/>
        </w:rPr>
        <w:t>לצד כל אלה, הבהיר הנשיא</w:t>
      </w:r>
      <w:r w:rsidRPr="003F1CA6">
        <w:rPr>
          <w:rFonts w:ascii="FrankRuehl" w:hAnsi="FrankRuehl" w:hint="cs"/>
          <w:color w:val="222222"/>
          <w:spacing w:val="0"/>
          <w:sz w:val="28"/>
          <w:rtl/>
        </w:rPr>
        <w:t xml:space="preserve"> </w:t>
      </w:r>
      <w:r w:rsidRPr="00CF61FD">
        <w:rPr>
          <w:rFonts w:ascii="Century" w:hAnsi="Century" w:cs="Miriam" w:hint="cs"/>
          <w:b/>
          <w:spacing w:val="0"/>
          <w:sz w:val="22"/>
          <w:szCs w:val="24"/>
          <w:rtl/>
        </w:rPr>
        <w:t>מ' שמגר</w:t>
      </w:r>
      <w:r>
        <w:rPr>
          <w:rFonts w:ascii="FrankRuehl" w:hAnsi="FrankRuehl" w:hint="cs"/>
          <w:color w:val="222222"/>
          <w:spacing w:val="0"/>
          <w:sz w:val="28"/>
          <w:rtl/>
        </w:rPr>
        <w:t xml:space="preserve"> כי "</w:t>
      </w:r>
      <w:r w:rsidRPr="003F1CA6">
        <w:rPr>
          <w:rFonts w:ascii="Century" w:hAnsi="Century"/>
          <w:sz w:val="22"/>
          <w:rtl/>
        </w:rPr>
        <w:t xml:space="preserve">הכרזה זו – היא </w:t>
      </w:r>
      <w:r w:rsidRPr="003F1CA6">
        <w:rPr>
          <w:rFonts w:ascii="Century" w:hAnsi="Century" w:hint="cs"/>
          <w:sz w:val="22"/>
          <w:rtl/>
        </w:rPr>
        <w:t>'</w:t>
      </w:r>
      <w:r w:rsidRPr="003F1CA6">
        <w:rPr>
          <w:rFonts w:ascii="Century" w:hAnsi="Century"/>
          <w:sz w:val="22"/>
          <w:rtl/>
        </w:rPr>
        <w:t>מגילת העצמאות</w:t>
      </w:r>
      <w:r w:rsidRPr="003F1CA6">
        <w:rPr>
          <w:rFonts w:ascii="Century" w:hAnsi="Century" w:hint="cs"/>
          <w:sz w:val="22"/>
          <w:rtl/>
        </w:rPr>
        <w:t>'</w:t>
      </w:r>
      <w:r w:rsidRPr="003F1CA6">
        <w:rPr>
          <w:rFonts w:ascii="Century" w:hAnsi="Century"/>
          <w:sz w:val="22"/>
          <w:rtl/>
        </w:rPr>
        <w:t xml:space="preserve"> שלנו, שהיא</w:t>
      </w:r>
      <w:r w:rsidRPr="003F1CA6">
        <w:rPr>
          <w:rFonts w:ascii="Century" w:hAnsi="Century" w:hint="cs"/>
          <w:sz w:val="22"/>
          <w:rtl/>
        </w:rPr>
        <w:t xml:space="preserve"> </w:t>
      </w:r>
      <w:r w:rsidRPr="003F1CA6">
        <w:rPr>
          <w:rFonts w:ascii="Century" w:hAnsi="Century"/>
          <w:sz w:val="22"/>
          <w:rtl/>
        </w:rPr>
        <w:t>הן תעודת הלידה והן תעודת הזהות של המדינה כיחידה מדינית, ריבונית ו</w:t>
      </w:r>
      <w:r w:rsidRPr="003F1CA6">
        <w:rPr>
          <w:rFonts w:ascii="Century" w:hAnsi="Century" w:hint="cs"/>
          <w:sz w:val="22"/>
          <w:rtl/>
        </w:rPr>
        <w:t>עצמאית" (ראו: עניין</w:t>
      </w:r>
      <w:r w:rsidRPr="003F1CA6">
        <w:rPr>
          <w:rFonts w:hint="cs"/>
          <w:rtl/>
        </w:rPr>
        <w:t xml:space="preserve"> </w:t>
      </w:r>
      <w:r w:rsidRPr="00CF61FD">
        <w:rPr>
          <w:rFonts w:ascii="Century" w:hAnsi="Century" w:cs="Miriam" w:hint="cs"/>
          <w:b/>
          <w:spacing w:val="0"/>
          <w:sz w:val="22"/>
          <w:szCs w:val="24"/>
          <w:rtl/>
        </w:rPr>
        <w:t xml:space="preserve">בנק </w:t>
      </w:r>
      <w:r>
        <w:rPr>
          <w:rFonts w:ascii="Century" w:hAnsi="Century" w:cs="Miriam" w:hint="cs"/>
          <w:b/>
          <w:spacing w:val="0"/>
          <w:sz w:val="22"/>
          <w:szCs w:val="24"/>
          <w:rtl/>
        </w:rPr>
        <w:t>ה</w:t>
      </w:r>
      <w:r w:rsidRPr="00CF61FD">
        <w:rPr>
          <w:rFonts w:ascii="Century" w:hAnsi="Century" w:cs="Miriam" w:hint="cs"/>
          <w:b/>
          <w:spacing w:val="0"/>
          <w:sz w:val="22"/>
          <w:szCs w:val="24"/>
          <w:rtl/>
        </w:rPr>
        <w:t>מזרחי</w:t>
      </w:r>
      <w:r>
        <w:rPr>
          <w:rFonts w:hint="cs"/>
          <w:rtl/>
        </w:rPr>
        <w:t xml:space="preserve">, בעמ' 309) </w:t>
      </w:r>
      <w:r>
        <w:rPr>
          <w:rtl/>
        </w:rPr>
        <w:t>–</w:t>
      </w:r>
      <w:r>
        <w:rPr>
          <w:rFonts w:hint="cs"/>
          <w:rtl/>
        </w:rPr>
        <w:t xml:space="preserve"> אמירה </w:t>
      </w:r>
      <w:r w:rsidRPr="003F1CA6">
        <w:rPr>
          <w:rFonts w:ascii="Century" w:hAnsi="Century" w:hint="cs"/>
          <w:sz w:val="22"/>
          <w:rtl/>
        </w:rPr>
        <w:t xml:space="preserve">שרואה בהכרזת העצמאות נורמה בסיסית וכן המסד עליו עומד המשפט הישראלי כולו. </w:t>
      </w:r>
    </w:p>
    <w:p w:rsidR="00553FDC" w:rsidRDefault="00553FDC" w:rsidP="00553FDC">
      <w:pPr>
        <w:pStyle w:val="Ruller4"/>
        <w:numPr>
          <w:ilvl w:val="0"/>
          <w:numId w:val="0"/>
        </w:numPr>
        <w:rPr>
          <w:rFonts w:ascii="FrankRuehl" w:hAnsi="FrankRuehl"/>
          <w:color w:val="222222"/>
          <w:spacing w:val="0"/>
          <w:sz w:val="28"/>
          <w:rtl/>
        </w:rPr>
      </w:pPr>
    </w:p>
    <w:p w:rsidR="00553FDC" w:rsidRPr="003F1CA6" w:rsidRDefault="00553FDC" w:rsidP="00553FDC">
      <w:pPr>
        <w:pStyle w:val="Ruller4"/>
        <w:numPr>
          <w:ilvl w:val="0"/>
          <w:numId w:val="0"/>
        </w:numPr>
        <w:rPr>
          <w:rFonts w:ascii="Century" w:hAnsi="Century"/>
          <w:sz w:val="22"/>
          <w:rtl/>
        </w:rPr>
      </w:pPr>
      <w:r w:rsidRPr="003F1CA6">
        <w:rPr>
          <w:rFonts w:ascii="Century" w:hAnsi="Century"/>
          <w:sz w:val="22"/>
          <w:rtl/>
        </w:rPr>
        <w:tab/>
      </w:r>
      <w:r w:rsidRPr="003F1CA6">
        <w:rPr>
          <w:rFonts w:ascii="Century" w:hAnsi="Century" w:hint="cs"/>
          <w:sz w:val="22"/>
          <w:rtl/>
        </w:rPr>
        <w:t>בהקשר זה, ראוי שאפנה גם לדבריהם הנכונים של המלומדים פרופ' אמנון רובינשטיין ופרופ' ברק מדינה:</w:t>
      </w:r>
    </w:p>
    <w:p w:rsidR="00553FDC" w:rsidRPr="00B650C6" w:rsidRDefault="00553FDC" w:rsidP="00553FDC">
      <w:pPr>
        <w:pStyle w:val="Ruller41"/>
      </w:pPr>
    </w:p>
    <w:p w:rsidR="00553FDC" w:rsidRDefault="00553FDC" w:rsidP="00553FDC">
      <w:pPr>
        <w:pStyle w:val="Ruller5"/>
        <w:rPr>
          <w:rtl/>
        </w:rPr>
      </w:pPr>
      <w:r>
        <w:rPr>
          <w:rFonts w:hint="cs"/>
          <w:rtl/>
        </w:rPr>
        <w:t xml:space="preserve">"מבחינה משפטית פועלה של ההכרזה הוא בשני מישורים עיקריים: ראשית, היא מבטאת את 'הנורמה הבסיסית' של המשפט בישראל; שנית, היא מבטאת את ה'אני מאמין' של העם, ומתווה בכך את אופיה של המדינה" (ראו: </w:t>
      </w:r>
      <w:r w:rsidRPr="00D05E2F">
        <w:rPr>
          <w:rFonts w:hint="eastAsia"/>
          <w:rtl/>
        </w:rPr>
        <w:t>אמנון</w:t>
      </w:r>
      <w:r w:rsidRPr="00D05E2F">
        <w:rPr>
          <w:rtl/>
        </w:rPr>
        <w:t xml:space="preserve"> </w:t>
      </w:r>
      <w:r w:rsidRPr="00D05E2F">
        <w:rPr>
          <w:rFonts w:hint="eastAsia"/>
          <w:rtl/>
        </w:rPr>
        <w:t>רובינשטיין</w:t>
      </w:r>
      <w:r w:rsidRPr="00D05E2F">
        <w:rPr>
          <w:rtl/>
        </w:rPr>
        <w:t xml:space="preserve"> </w:t>
      </w:r>
      <w:r w:rsidRPr="00D05E2F">
        <w:rPr>
          <w:rFonts w:hint="eastAsia"/>
          <w:rtl/>
        </w:rPr>
        <w:t>וברק</w:t>
      </w:r>
      <w:r w:rsidRPr="00D05E2F">
        <w:rPr>
          <w:rtl/>
        </w:rPr>
        <w:t xml:space="preserve"> </w:t>
      </w:r>
      <w:r w:rsidRPr="00D05E2F">
        <w:rPr>
          <w:rFonts w:hint="eastAsia"/>
          <w:rtl/>
        </w:rPr>
        <w:t>מדינה</w:t>
      </w:r>
      <w:r w:rsidRPr="00D05E2F">
        <w:rPr>
          <w:rtl/>
        </w:rPr>
        <w:t xml:space="preserve"> </w:t>
      </w:r>
      <w:r w:rsidRPr="00D05E2F">
        <w:rPr>
          <w:rFonts w:ascii="Century" w:hAnsi="Century" w:cs="Miriam" w:hint="eastAsia"/>
          <w:b/>
          <w:spacing w:val="0"/>
          <w:szCs w:val="24"/>
          <w:rtl/>
        </w:rPr>
        <w:t>המשפט</w:t>
      </w:r>
      <w:r w:rsidRPr="00D05E2F">
        <w:rPr>
          <w:rFonts w:ascii="Century" w:hAnsi="Century" w:cs="Miriam"/>
          <w:b/>
          <w:spacing w:val="0"/>
          <w:szCs w:val="24"/>
          <w:rtl/>
        </w:rPr>
        <w:t xml:space="preserve"> </w:t>
      </w:r>
      <w:r w:rsidRPr="00D05E2F">
        <w:rPr>
          <w:rFonts w:ascii="Century" w:hAnsi="Century" w:cs="Miriam" w:hint="eastAsia"/>
          <w:b/>
          <w:spacing w:val="0"/>
          <w:szCs w:val="24"/>
          <w:rtl/>
        </w:rPr>
        <w:t>החוקתי</w:t>
      </w:r>
      <w:r w:rsidRPr="00D05E2F">
        <w:rPr>
          <w:rFonts w:ascii="Century" w:hAnsi="Century" w:cs="Miriam"/>
          <w:b/>
          <w:spacing w:val="0"/>
          <w:szCs w:val="24"/>
          <w:rtl/>
        </w:rPr>
        <w:t xml:space="preserve"> </w:t>
      </w:r>
      <w:r w:rsidRPr="00D05E2F">
        <w:rPr>
          <w:rFonts w:ascii="Century" w:hAnsi="Century" w:cs="Miriam" w:hint="eastAsia"/>
          <w:b/>
          <w:spacing w:val="0"/>
          <w:szCs w:val="24"/>
          <w:rtl/>
        </w:rPr>
        <w:t>של</w:t>
      </w:r>
      <w:r w:rsidRPr="00D05E2F">
        <w:rPr>
          <w:rFonts w:ascii="Century" w:hAnsi="Century" w:cs="Miriam"/>
          <w:b/>
          <w:spacing w:val="0"/>
          <w:szCs w:val="24"/>
          <w:rtl/>
        </w:rPr>
        <w:t xml:space="preserve"> </w:t>
      </w:r>
      <w:r w:rsidRPr="00D05E2F">
        <w:rPr>
          <w:rFonts w:ascii="Century" w:hAnsi="Century" w:cs="Miriam" w:hint="eastAsia"/>
          <w:b/>
          <w:spacing w:val="0"/>
          <w:szCs w:val="24"/>
          <w:rtl/>
        </w:rPr>
        <w:t>מדינת</w:t>
      </w:r>
      <w:r w:rsidRPr="00D05E2F">
        <w:rPr>
          <w:rFonts w:ascii="Century" w:hAnsi="Century" w:cs="Miriam"/>
          <w:b/>
          <w:spacing w:val="0"/>
          <w:szCs w:val="24"/>
          <w:rtl/>
        </w:rPr>
        <w:t xml:space="preserve"> </w:t>
      </w:r>
      <w:r w:rsidRPr="00D05E2F">
        <w:rPr>
          <w:rFonts w:ascii="Century" w:hAnsi="Century" w:cs="Miriam" w:hint="eastAsia"/>
          <w:b/>
          <w:spacing w:val="0"/>
          <w:szCs w:val="24"/>
          <w:rtl/>
        </w:rPr>
        <w:t>ישראל</w:t>
      </w:r>
      <w:r w:rsidRPr="00D05E2F">
        <w:rPr>
          <w:rFonts w:ascii="Century" w:hAnsi="Century" w:cs="Miriam"/>
          <w:b/>
          <w:spacing w:val="0"/>
          <w:szCs w:val="24"/>
          <w:rtl/>
        </w:rPr>
        <w:t xml:space="preserve">: </w:t>
      </w:r>
      <w:r w:rsidRPr="00D05E2F">
        <w:rPr>
          <w:rFonts w:ascii="Century" w:hAnsi="Century" w:cs="Miriam" w:hint="eastAsia"/>
          <w:b/>
          <w:spacing w:val="0"/>
          <w:szCs w:val="24"/>
          <w:rtl/>
        </w:rPr>
        <w:t>עקרונות</w:t>
      </w:r>
      <w:r w:rsidRPr="00D05E2F">
        <w:rPr>
          <w:rFonts w:ascii="Century" w:hAnsi="Century" w:cs="Miriam"/>
          <w:b/>
          <w:spacing w:val="0"/>
          <w:szCs w:val="24"/>
          <w:rtl/>
        </w:rPr>
        <w:t xml:space="preserve"> </w:t>
      </w:r>
      <w:r w:rsidRPr="00D05E2F">
        <w:rPr>
          <w:rFonts w:ascii="Century" w:hAnsi="Century" w:cs="Miriam" w:hint="eastAsia"/>
          <w:b/>
          <w:spacing w:val="0"/>
          <w:szCs w:val="24"/>
          <w:rtl/>
        </w:rPr>
        <w:t>יסוד</w:t>
      </w:r>
      <w:r w:rsidRPr="00D05E2F">
        <w:rPr>
          <w:rtl/>
        </w:rPr>
        <w:t xml:space="preserve"> 37 (2005)</w:t>
      </w:r>
      <w:r>
        <w:rPr>
          <w:rFonts w:hint="cs"/>
          <w:rtl/>
        </w:rPr>
        <w:t>).</w:t>
      </w:r>
    </w:p>
    <w:p w:rsidR="00553FDC" w:rsidRPr="00D05E2F" w:rsidRDefault="00553FDC" w:rsidP="00553FDC">
      <w:pPr>
        <w:pStyle w:val="Ruller5"/>
      </w:pPr>
    </w:p>
    <w:p w:rsidR="00553FDC" w:rsidRPr="005A17CE" w:rsidRDefault="00553FDC" w:rsidP="00553FDC">
      <w:pPr>
        <w:pStyle w:val="Ruller4"/>
        <w:rPr>
          <w:rFonts w:ascii="Century" w:hAnsi="Century"/>
          <w:sz w:val="22"/>
        </w:rPr>
      </w:pPr>
      <w:r w:rsidRPr="005A17CE">
        <w:rPr>
          <w:rFonts w:ascii="Century" w:hAnsi="Century" w:hint="eastAsia"/>
          <w:sz w:val="22"/>
          <w:rtl/>
        </w:rPr>
        <w:t>כפי</w:t>
      </w:r>
      <w:r w:rsidRPr="005A17CE">
        <w:rPr>
          <w:rFonts w:ascii="Century" w:hAnsi="Century"/>
          <w:sz w:val="22"/>
          <w:rtl/>
        </w:rPr>
        <w:t xml:space="preserve"> </w:t>
      </w:r>
      <w:r w:rsidRPr="005A17CE">
        <w:rPr>
          <w:rFonts w:ascii="Century" w:hAnsi="Century" w:hint="eastAsia"/>
          <w:sz w:val="22"/>
          <w:rtl/>
        </w:rPr>
        <w:t>שניתן</w:t>
      </w:r>
      <w:r w:rsidRPr="005A17CE">
        <w:rPr>
          <w:rFonts w:ascii="Century" w:hAnsi="Century"/>
          <w:sz w:val="22"/>
          <w:rtl/>
        </w:rPr>
        <w:t xml:space="preserve"> </w:t>
      </w:r>
      <w:r w:rsidRPr="005A17CE">
        <w:rPr>
          <w:rFonts w:ascii="Century" w:hAnsi="Century" w:hint="eastAsia"/>
          <w:sz w:val="22"/>
          <w:rtl/>
        </w:rPr>
        <w:t>להיווכח</w:t>
      </w:r>
      <w:r w:rsidRPr="005A17CE">
        <w:rPr>
          <w:rFonts w:ascii="Century" w:hAnsi="Century" w:hint="cs"/>
          <w:sz w:val="22"/>
          <w:rtl/>
        </w:rPr>
        <w:t xml:space="preserve">, הדעות שהובאו לעיל אינן כוללות התייחסות לאמור במסמכי </w:t>
      </w:r>
      <w:r w:rsidRPr="003F1CA6">
        <w:rPr>
          <w:rFonts w:ascii="Century" w:hAnsi="Century" w:hint="cs"/>
          <w:sz w:val="22"/>
          <w:rtl/>
        </w:rPr>
        <w:t xml:space="preserve">הקמתו של משפט המדינה </w:t>
      </w:r>
      <w:r w:rsidRPr="003F1CA6">
        <w:rPr>
          <w:rFonts w:ascii="Century" w:hAnsi="Century"/>
          <w:sz w:val="22"/>
          <w:rtl/>
        </w:rPr>
        <w:t>–</w:t>
      </w:r>
      <w:r w:rsidRPr="003F1CA6">
        <w:rPr>
          <w:rFonts w:ascii="Century" w:hAnsi="Century" w:hint="cs"/>
          <w:sz w:val="22"/>
          <w:rtl/>
        </w:rPr>
        <w:t xml:space="preserve"> המנשר ופקודת סדרי השלטון והמשפט </w:t>
      </w:r>
      <w:r w:rsidRPr="003F1CA6">
        <w:rPr>
          <w:rFonts w:ascii="Century" w:hAnsi="Century"/>
          <w:sz w:val="22"/>
          <w:rtl/>
        </w:rPr>
        <w:t>–</w:t>
      </w:r>
      <w:r w:rsidRPr="003F1CA6">
        <w:rPr>
          <w:rFonts w:ascii="Century" w:hAnsi="Century" w:hint="cs"/>
          <w:sz w:val="22"/>
          <w:rtl/>
        </w:rPr>
        <w:t xml:space="preserve"> באשר למעמדה המשפטי הפורמלי של הכרזת העצמאות כנורמה בסיסית עליה עומד המשפט הישראלי כולו, וכנורמה מכוננת אשר תוחמת את סמכויות החקיקה של הכנסת. סבורני כי הדבר מחייבנו לתקן את ההלכה הפסוקה ולקבוע, במילים ברורות ומפורשות </w:t>
      </w:r>
      <w:r w:rsidRPr="003F1CA6">
        <w:rPr>
          <w:rFonts w:ascii="Century" w:hAnsi="Century"/>
          <w:sz w:val="22"/>
          <w:rtl/>
        </w:rPr>
        <w:t>–</w:t>
      </w:r>
      <w:r w:rsidRPr="003F1CA6">
        <w:rPr>
          <w:rFonts w:ascii="Century" w:hAnsi="Century" w:hint="cs"/>
          <w:sz w:val="22"/>
          <w:rtl/>
        </w:rPr>
        <w:t xml:space="preserve"> בהתאם לאמור במנשר ובפקודת סדרי השלטון והמשפט </w:t>
      </w:r>
      <w:r w:rsidRPr="003F1CA6">
        <w:rPr>
          <w:rFonts w:ascii="Century" w:hAnsi="Century"/>
          <w:sz w:val="22"/>
          <w:rtl/>
        </w:rPr>
        <w:t>–</w:t>
      </w:r>
      <w:r w:rsidRPr="003F1CA6">
        <w:rPr>
          <w:rFonts w:ascii="Century" w:hAnsi="Century" w:hint="cs"/>
          <w:sz w:val="22"/>
          <w:rtl/>
        </w:rPr>
        <w:t xml:space="preserve"> כי הכרזת העצמאות היא הנורמה הבסיסית </w:t>
      </w:r>
      <w:r w:rsidRPr="005A17CE">
        <w:rPr>
          <w:rFonts w:ascii="Century" w:hAnsi="Century" w:hint="cs"/>
          <w:sz w:val="22"/>
          <w:rtl/>
        </w:rPr>
        <w:t xml:space="preserve">של המשפט הישראלי כולו, אשר יצרה את סמכויות החקיקה של הכנסת ותחמה אותן כפי שתחמה. </w:t>
      </w:r>
    </w:p>
    <w:p w:rsidR="00553FDC" w:rsidRDefault="00553FDC" w:rsidP="00553FDC">
      <w:pPr>
        <w:pStyle w:val="Ruller4"/>
        <w:numPr>
          <w:ilvl w:val="0"/>
          <w:numId w:val="0"/>
        </w:numPr>
        <w:rPr>
          <w:rFonts w:ascii="FrankRuehl" w:hAnsi="FrankRuehl"/>
          <w:color w:val="222222"/>
          <w:spacing w:val="0"/>
          <w:sz w:val="28"/>
        </w:rPr>
      </w:pPr>
    </w:p>
    <w:p w:rsidR="00553FDC" w:rsidRPr="005A17CE" w:rsidRDefault="00553FDC" w:rsidP="00553FDC">
      <w:pPr>
        <w:pStyle w:val="Ruller4"/>
        <w:rPr>
          <w:rFonts w:ascii="Century" w:hAnsi="Century"/>
          <w:sz w:val="22"/>
          <w:rtl/>
        </w:rPr>
      </w:pPr>
      <w:r w:rsidRPr="005A17CE">
        <w:rPr>
          <w:rFonts w:ascii="Century" w:hAnsi="Century" w:hint="cs"/>
          <w:sz w:val="22"/>
          <w:rtl/>
        </w:rPr>
        <w:lastRenderedPageBreak/>
        <w:t>בפסק דינו ב</w:t>
      </w:r>
      <w:r w:rsidRPr="005A17CE">
        <w:rPr>
          <w:rFonts w:ascii="Century" w:hAnsi="Century" w:cs="Miriam"/>
          <w:b/>
          <w:spacing w:val="0"/>
          <w:sz w:val="22"/>
          <w:szCs w:val="24"/>
          <w:rtl/>
        </w:rPr>
        <w:t>ב</w:t>
      </w:r>
      <w:r w:rsidRPr="003F1CA6">
        <w:rPr>
          <w:rFonts w:ascii="Century" w:hAnsi="Century" w:cs="Miriam"/>
          <w:b/>
          <w:spacing w:val="0"/>
          <w:sz w:val="22"/>
          <w:szCs w:val="24"/>
          <w:rtl/>
        </w:rPr>
        <w:t xml:space="preserve">ג"ץ </w:t>
      </w:r>
      <w:r w:rsidRPr="005A17CE">
        <w:rPr>
          <w:rFonts w:ascii="Century" w:hAnsi="Century" w:cs="Miriam"/>
          <w:b/>
          <w:spacing w:val="0"/>
          <w:sz w:val="22"/>
          <w:szCs w:val="24"/>
          <w:rtl/>
        </w:rPr>
        <w:t>6427/02</w:t>
      </w:r>
      <w:r>
        <w:rPr>
          <w:rFonts w:hint="cs"/>
          <w:color w:val="000000"/>
          <w:sz w:val="27"/>
          <w:szCs w:val="27"/>
          <w:rtl/>
        </w:rPr>
        <w:t>,</w:t>
      </w:r>
      <w:r w:rsidRPr="005A17CE">
        <w:rPr>
          <w:rFonts w:ascii="Century" w:hAnsi="Century" w:hint="cs"/>
          <w:sz w:val="22"/>
          <w:rtl/>
        </w:rPr>
        <w:t xml:space="preserve"> קבע הנשיא </w:t>
      </w:r>
      <w:r w:rsidRPr="003B0E7A">
        <w:rPr>
          <w:rFonts w:ascii="Century" w:hAnsi="Century" w:cs="Miriam" w:hint="cs"/>
          <w:b/>
          <w:spacing w:val="0"/>
          <w:sz w:val="22"/>
          <w:szCs w:val="24"/>
          <w:rtl/>
        </w:rPr>
        <w:t>ברק</w:t>
      </w:r>
      <w:r>
        <w:rPr>
          <w:rFonts w:hint="cs"/>
          <w:color w:val="000000"/>
          <w:sz w:val="27"/>
          <w:szCs w:val="27"/>
          <w:rtl/>
        </w:rPr>
        <w:t xml:space="preserve"> </w:t>
      </w:r>
      <w:r w:rsidRPr="005A17CE">
        <w:rPr>
          <w:rFonts w:ascii="Century" w:hAnsi="Century" w:hint="cs"/>
          <w:sz w:val="22"/>
          <w:rtl/>
        </w:rPr>
        <w:t>כדלהלן:</w:t>
      </w:r>
    </w:p>
    <w:p w:rsidR="00553FDC" w:rsidRPr="00AE664E" w:rsidRDefault="00553FDC" w:rsidP="00553FDC">
      <w:pPr>
        <w:pStyle w:val="Ruller4"/>
        <w:numPr>
          <w:ilvl w:val="0"/>
          <w:numId w:val="0"/>
        </w:numPr>
        <w:rPr>
          <w:rFonts w:ascii="FrankRuehl" w:hAnsi="FrankRuehl"/>
          <w:color w:val="222222"/>
          <w:spacing w:val="0"/>
          <w:sz w:val="28"/>
        </w:rPr>
      </w:pPr>
      <w:r w:rsidRPr="003B0E7A">
        <w:rPr>
          <w:color w:val="000000"/>
          <w:sz w:val="27"/>
          <w:szCs w:val="27"/>
          <w:rtl/>
        </w:rPr>
        <w:t xml:space="preserve"> </w:t>
      </w:r>
    </w:p>
    <w:p w:rsidR="00553FDC" w:rsidRDefault="00553FDC" w:rsidP="00553FDC">
      <w:pPr>
        <w:pStyle w:val="Ruller5"/>
        <w:rPr>
          <w:rtl/>
        </w:rPr>
      </w:pPr>
      <w:r w:rsidRPr="003B0E7A">
        <w:rPr>
          <w:rtl/>
        </w:rPr>
        <w:t xml:space="preserve">"יש מקום לתפיסה כי חוק או חוק-יסוד, אשר ישללו את אופייה של ישראל כמדינה יהודית או דמוקרטית, אינו חוקתי. העם, הריבון, לא הסמיך לכך את הכנסת שלנו. זו הוסמכה לפעול במסגרת עקרונות היסוד של המשטר. היא לא הוסמכה </w:t>
      </w:r>
      <w:r>
        <w:rPr>
          <w:rFonts w:hint="cs"/>
          <w:rtl/>
        </w:rPr>
        <w:t xml:space="preserve">לבטלם" (ראו: שם, פסקה 74). </w:t>
      </w:r>
    </w:p>
    <w:p w:rsidR="00553FDC" w:rsidRDefault="00553FDC" w:rsidP="00553FDC">
      <w:pPr>
        <w:pStyle w:val="Ruller4"/>
        <w:numPr>
          <w:ilvl w:val="0"/>
          <w:numId w:val="0"/>
        </w:numPr>
        <w:rPr>
          <w:color w:val="000000"/>
          <w:sz w:val="27"/>
          <w:szCs w:val="27"/>
          <w:rtl/>
        </w:rPr>
      </w:pPr>
    </w:p>
    <w:p w:rsidR="00553FDC" w:rsidRDefault="00553FDC" w:rsidP="00553FDC">
      <w:pPr>
        <w:pStyle w:val="Ruller4"/>
        <w:numPr>
          <w:ilvl w:val="0"/>
          <w:numId w:val="0"/>
        </w:numPr>
        <w:rPr>
          <w:rFonts w:ascii="FrankRuehl" w:hAnsi="FrankRuehl"/>
          <w:color w:val="222222"/>
          <w:spacing w:val="0"/>
          <w:sz w:val="28"/>
          <w:rtl/>
        </w:rPr>
      </w:pPr>
      <w:r>
        <w:rPr>
          <w:color w:val="000000"/>
          <w:sz w:val="27"/>
          <w:szCs w:val="27"/>
          <w:rtl/>
        </w:rPr>
        <w:tab/>
      </w:r>
      <w:r w:rsidRPr="005A17CE">
        <w:rPr>
          <w:rFonts w:ascii="Century" w:hAnsi="Century" w:hint="cs"/>
          <w:sz w:val="22"/>
          <w:rtl/>
        </w:rPr>
        <w:t>דברים אלה, בכל הכבוד, הינם נכונים ומקובלים עלי לחלוטין,</w:t>
      </w:r>
      <w:r w:rsidRPr="005A17CE">
        <w:rPr>
          <w:rFonts w:ascii="FrankRuehl" w:hAnsi="FrankRuehl" w:hint="cs"/>
          <w:color w:val="222222"/>
          <w:spacing w:val="0"/>
          <w:sz w:val="28"/>
          <w:rtl/>
        </w:rPr>
        <w:t xml:space="preserve"> </w:t>
      </w:r>
      <w:r w:rsidRPr="005A17CE">
        <w:rPr>
          <w:rFonts w:ascii="Century" w:hAnsi="Century" w:cs="Miriam" w:hint="cs"/>
          <w:b/>
          <w:spacing w:val="0"/>
          <w:sz w:val="22"/>
          <w:szCs w:val="24"/>
          <w:rtl/>
        </w:rPr>
        <w:t xml:space="preserve">כל אימת שהם נסמכים על לשונה של הכרזת העצמאות ועל מובנה המקורי </w:t>
      </w:r>
      <w:r w:rsidRPr="005A17CE">
        <w:rPr>
          <w:rFonts w:ascii="Century" w:hAnsi="Century" w:cs="Miriam"/>
          <w:b/>
          <w:spacing w:val="0"/>
          <w:sz w:val="22"/>
          <w:szCs w:val="24"/>
          <w:rtl/>
        </w:rPr>
        <w:t>–</w:t>
      </w:r>
      <w:r w:rsidRPr="005A17CE">
        <w:rPr>
          <w:rFonts w:ascii="Century" w:hAnsi="Century" w:cs="Miriam" w:hint="cs"/>
          <w:b/>
          <w:spacing w:val="0"/>
          <w:sz w:val="22"/>
          <w:szCs w:val="24"/>
          <w:rtl/>
        </w:rPr>
        <w:t xml:space="preserve"> כפי שעוגנה כנורמת היסוד של המשפט הישראלי במנשר ובפקודת סדרי השלטון והמשפט.</w:t>
      </w:r>
      <w:r>
        <w:rPr>
          <w:rFonts w:ascii="FrankRuehl" w:hAnsi="FrankRuehl" w:hint="cs"/>
          <w:color w:val="222222"/>
          <w:spacing w:val="0"/>
          <w:sz w:val="28"/>
          <w:rtl/>
        </w:rPr>
        <w:t xml:space="preserve"> </w:t>
      </w:r>
      <w:r w:rsidRPr="005A17CE">
        <w:rPr>
          <w:rFonts w:ascii="Century" w:hAnsi="Century" w:hint="cs"/>
          <w:sz w:val="22"/>
          <w:rtl/>
        </w:rPr>
        <w:t xml:space="preserve">זאת דרכו של המשפט החוקתי הפורמלי, וזוהי דרכי-שלי. "ערכי היסוד" הבלתי פורמליים וכן נורמות מוסריות כאלה או אחרות </w:t>
      </w:r>
      <w:r w:rsidRPr="005A17CE">
        <w:rPr>
          <w:rFonts w:ascii="Century" w:hAnsi="Century"/>
          <w:sz w:val="22"/>
          <w:rtl/>
        </w:rPr>
        <w:t>–</w:t>
      </w:r>
      <w:r w:rsidRPr="005A17CE">
        <w:rPr>
          <w:rFonts w:ascii="Century" w:hAnsi="Century" w:hint="cs"/>
          <w:sz w:val="22"/>
          <w:rtl/>
        </w:rPr>
        <w:t xml:space="preserve"> נעלים ככל שיהיו </w:t>
      </w:r>
      <w:r w:rsidRPr="005A17CE">
        <w:rPr>
          <w:rFonts w:ascii="Century" w:hAnsi="Century"/>
          <w:sz w:val="22"/>
          <w:rtl/>
        </w:rPr>
        <w:t>–</w:t>
      </w:r>
      <w:r w:rsidRPr="005A17CE">
        <w:rPr>
          <w:rFonts w:ascii="Century" w:hAnsi="Century" w:hint="cs"/>
          <w:sz w:val="22"/>
          <w:rtl/>
        </w:rPr>
        <w:t xml:space="preserve"> מהווים חלק מהשיח המשפטי אשר מתנהל במקומותינו, אך אינם מהווים חלק מהדין הנוהג כאשר אין להם עיגון משפטי-פורמלי, ובוודאי שלא ניתן לשוות להם מעמד של </w:t>
      </w:r>
      <w:r w:rsidRPr="0094362B">
        <w:rPr>
          <w:rFonts w:ascii="Century" w:hAnsi="Century" w:hint="cs"/>
          <w:sz w:val="22"/>
          <w:rtl/>
        </w:rPr>
        <w:t>נורמת</w:t>
      </w:r>
      <w:r w:rsidRPr="005A17CE">
        <w:rPr>
          <w:rFonts w:ascii="Century" w:hAnsi="Century" w:hint="cs"/>
          <w:sz w:val="22"/>
          <w:rtl/>
        </w:rPr>
        <w:t>-על חוקתית (ראו</w:t>
      </w:r>
      <w:r w:rsidRPr="0074786B">
        <w:rPr>
          <w:rFonts w:ascii="FrankRuehl" w:hAnsi="FrankRuehl" w:hint="cs"/>
          <w:color w:val="222222"/>
          <w:spacing w:val="0"/>
          <w:sz w:val="28"/>
          <w:rtl/>
        </w:rPr>
        <w:t xml:space="preserve">: </w:t>
      </w:r>
      <w:r w:rsidRPr="0074786B">
        <w:rPr>
          <w:rFonts w:asciiTheme="majorBidi" w:hAnsiTheme="majorBidi" w:cstheme="majorBidi"/>
        </w:rPr>
        <w:t xml:space="preserve">H.L.A. Hart, </w:t>
      </w:r>
      <w:r w:rsidRPr="0074786B">
        <w:rPr>
          <w:rFonts w:asciiTheme="majorBidi" w:hAnsiTheme="majorBidi" w:cstheme="majorBidi"/>
          <w:i/>
          <w:iCs/>
        </w:rPr>
        <w:t>Positivism and the Separation of Law and Morals</w:t>
      </w:r>
      <w:r w:rsidRPr="0074786B">
        <w:rPr>
          <w:rFonts w:asciiTheme="majorBidi" w:hAnsiTheme="majorBidi" w:cstheme="majorBidi"/>
        </w:rPr>
        <w:t xml:space="preserve">, 71 </w:t>
      </w:r>
      <w:r w:rsidRPr="0074786B">
        <w:rPr>
          <w:rFonts w:asciiTheme="majorBidi" w:hAnsiTheme="majorBidi" w:cstheme="majorBidi"/>
          <w:smallCaps/>
        </w:rPr>
        <w:t>Harv. L. Rev.</w:t>
      </w:r>
      <w:r w:rsidRPr="0074786B">
        <w:rPr>
          <w:rFonts w:asciiTheme="majorBidi" w:hAnsiTheme="majorBidi" w:cstheme="majorBidi"/>
        </w:rPr>
        <w:t xml:space="preserve"> 593, 596-600 (1958)</w:t>
      </w:r>
      <w:r w:rsidRPr="0074786B">
        <w:rPr>
          <w:rFonts w:ascii="FrankRuehl" w:hAnsi="FrankRuehl" w:hint="cs"/>
          <w:color w:val="222222"/>
          <w:spacing w:val="0"/>
          <w:sz w:val="28"/>
          <w:rtl/>
        </w:rPr>
        <w:t>).</w:t>
      </w:r>
      <w:r>
        <w:rPr>
          <w:rFonts w:ascii="FrankRuehl" w:hAnsi="FrankRuehl" w:hint="cs"/>
          <w:color w:val="222222"/>
          <w:spacing w:val="0"/>
          <w:sz w:val="28"/>
          <w:rtl/>
        </w:rPr>
        <w:t xml:space="preserve"> </w:t>
      </w:r>
    </w:p>
    <w:p w:rsidR="00553FDC" w:rsidRDefault="00553FDC" w:rsidP="00553FDC">
      <w:pPr>
        <w:pStyle w:val="Ruller41"/>
        <w:rPr>
          <w:rtl/>
        </w:rPr>
      </w:pPr>
    </w:p>
    <w:p w:rsidR="00553FDC" w:rsidRDefault="00553FDC" w:rsidP="00553FDC">
      <w:pPr>
        <w:pStyle w:val="Ruller4"/>
      </w:pPr>
      <w:r>
        <w:rPr>
          <w:rFonts w:hint="cs"/>
          <w:rtl/>
        </w:rPr>
        <w:t xml:space="preserve">בשורה התחתונה, עמדתי באשר למעמדה וכוחה של הכרזת העצמאות קרובה מאד לדעות שנשמעו מפיהם של הנשיאה </w:t>
      </w:r>
      <w:r w:rsidRPr="00293AD2">
        <w:rPr>
          <w:rFonts w:ascii="Century" w:hAnsi="Century" w:cs="Miriam" w:hint="cs"/>
          <w:b/>
          <w:spacing w:val="0"/>
          <w:sz w:val="22"/>
          <w:szCs w:val="24"/>
          <w:rtl/>
        </w:rPr>
        <w:t>א' חיות</w:t>
      </w:r>
      <w:r>
        <w:rPr>
          <w:rFonts w:hint="cs"/>
          <w:rtl/>
        </w:rPr>
        <w:t xml:space="preserve"> והשופטים </w:t>
      </w:r>
      <w:r w:rsidRPr="00293AD2">
        <w:rPr>
          <w:rFonts w:ascii="Century" w:hAnsi="Century" w:cs="Miriam" w:hint="cs"/>
          <w:b/>
          <w:spacing w:val="0"/>
          <w:sz w:val="22"/>
          <w:szCs w:val="24"/>
          <w:rtl/>
        </w:rPr>
        <w:t>ע' פוגלמן</w:t>
      </w:r>
      <w:r>
        <w:rPr>
          <w:rFonts w:hint="cs"/>
          <w:rtl/>
        </w:rPr>
        <w:t xml:space="preserve"> ו</w:t>
      </w:r>
      <w:r w:rsidRPr="00293AD2">
        <w:rPr>
          <w:rFonts w:ascii="Century" w:hAnsi="Century" w:cs="Miriam" w:hint="cs"/>
          <w:b/>
          <w:spacing w:val="0"/>
          <w:sz w:val="22"/>
          <w:szCs w:val="24"/>
          <w:rtl/>
        </w:rPr>
        <w:t>י' עמית</w:t>
      </w:r>
      <w:r>
        <w:rPr>
          <w:rFonts w:hint="cs"/>
          <w:rtl/>
        </w:rPr>
        <w:t xml:space="preserve"> ב</w:t>
      </w:r>
      <w:r w:rsidRPr="00293AD2">
        <w:rPr>
          <w:rFonts w:hint="eastAsia"/>
          <w:rtl/>
        </w:rPr>
        <w:t>בג</w:t>
      </w:r>
      <w:r w:rsidRPr="00293AD2">
        <w:rPr>
          <w:rtl/>
        </w:rPr>
        <w:t>"</w:t>
      </w:r>
      <w:r w:rsidRPr="00293AD2">
        <w:rPr>
          <w:rFonts w:hint="eastAsia"/>
          <w:rtl/>
        </w:rPr>
        <w:t>ץ</w:t>
      </w:r>
      <w:r w:rsidRPr="00293AD2">
        <w:rPr>
          <w:rtl/>
        </w:rPr>
        <w:t xml:space="preserve"> 5555/18 </w:t>
      </w:r>
      <w:r w:rsidRPr="00293AD2">
        <w:rPr>
          <w:rFonts w:ascii="Century" w:hAnsi="Century" w:cs="Miriam" w:hint="eastAsia"/>
          <w:b/>
          <w:spacing w:val="0"/>
          <w:sz w:val="22"/>
          <w:szCs w:val="24"/>
          <w:rtl/>
        </w:rPr>
        <w:t>חסון</w:t>
      </w:r>
      <w:r w:rsidRPr="00293AD2">
        <w:rPr>
          <w:rFonts w:ascii="Century" w:hAnsi="Century" w:cs="Miriam"/>
          <w:b/>
          <w:spacing w:val="0"/>
          <w:sz w:val="22"/>
          <w:szCs w:val="24"/>
          <w:rtl/>
        </w:rPr>
        <w:t xml:space="preserve"> </w:t>
      </w:r>
      <w:r w:rsidRPr="00293AD2">
        <w:rPr>
          <w:rFonts w:ascii="Century" w:hAnsi="Century" w:cs="Miriam" w:hint="eastAsia"/>
          <w:b/>
          <w:spacing w:val="0"/>
          <w:sz w:val="22"/>
          <w:szCs w:val="24"/>
          <w:rtl/>
        </w:rPr>
        <w:t>נ</w:t>
      </w:r>
      <w:r w:rsidRPr="00293AD2">
        <w:rPr>
          <w:rFonts w:ascii="Century" w:hAnsi="Century" w:cs="Miriam"/>
          <w:b/>
          <w:spacing w:val="0"/>
          <w:sz w:val="22"/>
          <w:szCs w:val="24"/>
          <w:rtl/>
        </w:rPr>
        <w:t xml:space="preserve">' </w:t>
      </w:r>
      <w:r w:rsidRPr="00293AD2">
        <w:rPr>
          <w:rFonts w:ascii="Century" w:hAnsi="Century" w:cs="Miriam" w:hint="eastAsia"/>
          <w:b/>
          <w:spacing w:val="0"/>
          <w:sz w:val="22"/>
          <w:szCs w:val="24"/>
          <w:rtl/>
        </w:rPr>
        <w:t>כנסת</w:t>
      </w:r>
      <w:r w:rsidRPr="00293AD2">
        <w:rPr>
          <w:rFonts w:ascii="Century" w:hAnsi="Century" w:cs="Miriam"/>
          <w:b/>
          <w:spacing w:val="0"/>
          <w:sz w:val="22"/>
          <w:szCs w:val="24"/>
          <w:rtl/>
        </w:rPr>
        <w:t xml:space="preserve"> </w:t>
      </w:r>
      <w:r w:rsidRPr="00293AD2">
        <w:rPr>
          <w:rFonts w:ascii="Century" w:hAnsi="Century" w:cs="Miriam" w:hint="eastAsia"/>
          <w:b/>
          <w:spacing w:val="0"/>
          <w:sz w:val="22"/>
          <w:szCs w:val="24"/>
          <w:rtl/>
        </w:rPr>
        <w:t>ישראל</w:t>
      </w:r>
      <w:r w:rsidRPr="00293AD2">
        <w:rPr>
          <w:rtl/>
        </w:rPr>
        <w:t xml:space="preserve"> (</w:t>
      </w:r>
      <w:r>
        <w:rPr>
          <w:rtl/>
        </w:rPr>
        <w:t>8.</w:t>
      </w:r>
      <w:r w:rsidRPr="00293AD2">
        <w:rPr>
          <w:rtl/>
        </w:rPr>
        <w:t>7.2021)</w:t>
      </w:r>
      <w:r>
        <w:rPr>
          <w:rFonts w:hint="cs"/>
          <w:rtl/>
        </w:rPr>
        <w:t xml:space="preserve">, אם כי נבדלת מדעות אלה בבסיסה הפורמלי. כפי שכבר הסברתי, הכרזת העצמאות היא </w:t>
      </w:r>
      <w:r w:rsidRPr="00220C7C">
        <w:rPr>
          <w:rFonts w:ascii="Century" w:hAnsi="Century" w:cs="Miriam" w:hint="cs"/>
          <w:b/>
          <w:spacing w:val="0"/>
          <w:sz w:val="22"/>
          <w:szCs w:val="24"/>
          <w:rtl/>
        </w:rPr>
        <w:t>הנורמה הבסיסית הפורמלית</w:t>
      </w:r>
      <w:r w:rsidRPr="00220C7C">
        <w:rPr>
          <w:rFonts w:hint="cs"/>
          <w:rtl/>
        </w:rPr>
        <w:t xml:space="preserve"> </w:t>
      </w:r>
      <w:r>
        <w:rPr>
          <w:rFonts w:hint="cs"/>
          <w:rtl/>
        </w:rPr>
        <w:t xml:space="preserve">של הדין הישראלי כולו </w:t>
      </w:r>
      <w:r>
        <w:rPr>
          <w:rtl/>
        </w:rPr>
        <w:t>–</w:t>
      </w:r>
      <w:r>
        <w:rPr>
          <w:rFonts w:hint="cs"/>
          <w:rtl/>
        </w:rPr>
        <w:t xml:space="preserve"> מעמד שנקבע לה במסמכי ההקמה של המדינה ומוסדותיה: המנשר ופקודת סדרי השלטון והמשפט המקורית. ככל שחבריי דוגלים בהכרה משפטית בערכי היסוד של מדינתנו ללא עיגון פורמלי כאמור, דרכי תישאר נפרדת מדרכם </w:t>
      </w:r>
      <w:r>
        <w:rPr>
          <w:rtl/>
        </w:rPr>
        <w:t>–</w:t>
      </w:r>
      <w:r>
        <w:rPr>
          <w:rFonts w:hint="cs"/>
          <w:rtl/>
        </w:rPr>
        <w:t xml:space="preserve"> כאשר שתי הדרכים הללו מובילות בענייננו לאותו מקום.</w:t>
      </w:r>
    </w:p>
    <w:p w:rsidR="00553FDC" w:rsidRDefault="00553FDC" w:rsidP="00553FDC">
      <w:pPr>
        <w:pStyle w:val="Ruller4"/>
        <w:rPr>
          <w:rtl/>
        </w:rPr>
      </w:pPr>
      <w:r w:rsidRPr="003F1CA6">
        <w:rPr>
          <w:rFonts w:ascii="Century" w:hAnsi="Century" w:hint="cs"/>
          <w:sz w:val="22"/>
          <w:rtl/>
        </w:rPr>
        <w:t>בטרם אנעל פרק זה של פסק דיני</w:t>
      </w:r>
      <w:r>
        <w:rPr>
          <w:rFonts w:hint="cs"/>
          <w:rtl/>
        </w:rPr>
        <w:t xml:space="preserve">, אתייחס בקצרה לדברים הבאים, אשר נאמרו על ידי השופט </w:t>
      </w:r>
      <w:r w:rsidRPr="00B24B51">
        <w:rPr>
          <w:rFonts w:ascii="Century" w:hAnsi="Century" w:cs="Miriam" w:hint="cs"/>
          <w:b/>
          <w:spacing w:val="0"/>
          <w:sz w:val="22"/>
          <w:szCs w:val="24"/>
          <w:rtl/>
        </w:rPr>
        <w:t>צ' ברנזון</w:t>
      </w:r>
      <w:r>
        <w:rPr>
          <w:rFonts w:hint="cs"/>
          <w:rtl/>
        </w:rPr>
        <w:t xml:space="preserve"> ב</w:t>
      </w:r>
      <w:r w:rsidRPr="00220C7C">
        <w:rPr>
          <w:rFonts w:hint="eastAsia"/>
          <w:rtl/>
        </w:rPr>
        <w:t>בג</w:t>
      </w:r>
      <w:r w:rsidRPr="00220C7C">
        <w:rPr>
          <w:rtl/>
        </w:rPr>
        <w:t>"</w:t>
      </w:r>
      <w:r w:rsidRPr="00220C7C">
        <w:rPr>
          <w:rFonts w:hint="eastAsia"/>
          <w:rtl/>
        </w:rPr>
        <w:t>ץ</w:t>
      </w:r>
      <w:r w:rsidRPr="00220C7C">
        <w:rPr>
          <w:rtl/>
        </w:rPr>
        <w:t xml:space="preserve"> 188/63 </w:t>
      </w:r>
      <w:r w:rsidRPr="00B24B51">
        <w:rPr>
          <w:rFonts w:ascii="Century" w:hAnsi="Century" w:cs="Miriam" w:hint="eastAsia"/>
          <w:b/>
          <w:spacing w:val="0"/>
          <w:sz w:val="22"/>
          <w:szCs w:val="24"/>
          <w:rtl/>
        </w:rPr>
        <w:t>בצול</w:t>
      </w:r>
      <w:r w:rsidRPr="00B24B51">
        <w:rPr>
          <w:rFonts w:ascii="Century" w:hAnsi="Century" w:cs="Miriam"/>
          <w:b/>
          <w:spacing w:val="0"/>
          <w:sz w:val="22"/>
          <w:szCs w:val="24"/>
          <w:rtl/>
        </w:rPr>
        <w:t xml:space="preserve"> </w:t>
      </w:r>
      <w:r w:rsidRPr="00B24B51">
        <w:rPr>
          <w:rFonts w:ascii="Century" w:hAnsi="Century" w:cs="Miriam" w:hint="eastAsia"/>
          <w:b/>
          <w:spacing w:val="0"/>
          <w:sz w:val="22"/>
          <w:szCs w:val="24"/>
          <w:rtl/>
        </w:rPr>
        <w:t>נ</w:t>
      </w:r>
      <w:r w:rsidRPr="00B24B51">
        <w:rPr>
          <w:rFonts w:ascii="Century" w:hAnsi="Century" w:cs="Miriam"/>
          <w:b/>
          <w:spacing w:val="0"/>
          <w:sz w:val="22"/>
          <w:szCs w:val="24"/>
          <w:rtl/>
        </w:rPr>
        <w:t xml:space="preserve">' </w:t>
      </w:r>
      <w:r w:rsidRPr="00B24B51">
        <w:rPr>
          <w:rFonts w:ascii="Century" w:hAnsi="Century" w:cs="Miriam" w:hint="eastAsia"/>
          <w:b/>
          <w:spacing w:val="0"/>
          <w:sz w:val="22"/>
          <w:szCs w:val="24"/>
          <w:rtl/>
        </w:rPr>
        <w:t>שר</w:t>
      </w:r>
      <w:r w:rsidRPr="00B24B51">
        <w:rPr>
          <w:rFonts w:ascii="Century" w:hAnsi="Century" w:cs="Miriam"/>
          <w:b/>
          <w:spacing w:val="0"/>
          <w:sz w:val="22"/>
          <w:szCs w:val="24"/>
          <w:rtl/>
        </w:rPr>
        <w:t xml:space="preserve"> </w:t>
      </w:r>
      <w:r w:rsidRPr="00B24B51">
        <w:rPr>
          <w:rFonts w:ascii="Century" w:hAnsi="Century" w:cs="Miriam" w:hint="eastAsia"/>
          <w:b/>
          <w:spacing w:val="0"/>
          <w:sz w:val="22"/>
          <w:szCs w:val="24"/>
          <w:rtl/>
        </w:rPr>
        <w:t>הפנים</w:t>
      </w:r>
      <w:r>
        <w:rPr>
          <w:rFonts w:hint="cs"/>
          <w:rtl/>
        </w:rPr>
        <w:t>, פ"ד</w:t>
      </w:r>
      <w:r w:rsidRPr="00220C7C">
        <w:rPr>
          <w:rtl/>
        </w:rPr>
        <w:t xml:space="preserve"> </w:t>
      </w:r>
      <w:r w:rsidRPr="00220C7C">
        <w:rPr>
          <w:rFonts w:hint="eastAsia"/>
          <w:rtl/>
        </w:rPr>
        <w:t>יט</w:t>
      </w:r>
      <w:r>
        <w:rPr>
          <w:rFonts w:hint="cs"/>
          <w:rtl/>
        </w:rPr>
        <w:t>(1)</w:t>
      </w:r>
      <w:r w:rsidRPr="00220C7C">
        <w:rPr>
          <w:rtl/>
        </w:rPr>
        <w:t xml:space="preserve"> 337 (1965)</w:t>
      </w:r>
      <w:r>
        <w:rPr>
          <w:rFonts w:hint="cs"/>
          <w:rtl/>
        </w:rPr>
        <w:t xml:space="preserve"> (להלן: עניין </w:t>
      </w:r>
      <w:r w:rsidRPr="00100817">
        <w:rPr>
          <w:rFonts w:ascii="Century" w:hAnsi="Century" w:cs="Miriam" w:hint="cs"/>
          <w:b/>
          <w:spacing w:val="0"/>
          <w:sz w:val="22"/>
          <w:szCs w:val="24"/>
          <w:rtl/>
        </w:rPr>
        <w:t>בצול</w:t>
      </w:r>
      <w:r>
        <w:rPr>
          <w:rFonts w:hint="cs"/>
          <w:rtl/>
        </w:rPr>
        <w:t>):</w:t>
      </w:r>
    </w:p>
    <w:p w:rsidR="00553FDC" w:rsidRPr="007D2A0B" w:rsidRDefault="00553FDC" w:rsidP="00553FDC">
      <w:pPr>
        <w:pStyle w:val="Ruller41"/>
        <w:rPr>
          <w:rtl/>
        </w:rPr>
      </w:pPr>
    </w:p>
    <w:p w:rsidR="00553FDC" w:rsidRDefault="00553FDC" w:rsidP="00553FDC">
      <w:pPr>
        <w:pStyle w:val="Ruller5"/>
        <w:rPr>
          <w:rtl/>
        </w:rPr>
      </w:pPr>
      <w:r w:rsidRPr="00220C7C">
        <w:rPr>
          <w:rtl/>
        </w:rPr>
        <w:t>"</w:t>
      </w:r>
      <w:r w:rsidRPr="00220C7C">
        <w:rPr>
          <w:rFonts w:hint="eastAsia"/>
          <w:rtl/>
        </w:rPr>
        <w:t>חושבני</w:t>
      </w:r>
      <w:r w:rsidRPr="00220C7C">
        <w:rPr>
          <w:rtl/>
        </w:rPr>
        <w:t xml:space="preserve">, </w:t>
      </w:r>
      <w:r w:rsidRPr="00220C7C">
        <w:rPr>
          <w:rFonts w:hint="eastAsia"/>
          <w:rtl/>
        </w:rPr>
        <w:t>כי</w:t>
      </w:r>
      <w:r w:rsidRPr="00220C7C">
        <w:rPr>
          <w:rtl/>
        </w:rPr>
        <w:t xml:space="preserve"> </w:t>
      </w:r>
      <w:r w:rsidRPr="00220C7C">
        <w:rPr>
          <w:rFonts w:hint="eastAsia"/>
          <w:rtl/>
        </w:rPr>
        <w:t>הכל</w:t>
      </w:r>
      <w:r w:rsidRPr="00220C7C">
        <w:rPr>
          <w:rtl/>
        </w:rPr>
        <w:t xml:space="preserve"> </w:t>
      </w:r>
      <w:r w:rsidRPr="00220C7C">
        <w:rPr>
          <w:rFonts w:hint="eastAsia"/>
          <w:rtl/>
        </w:rPr>
        <w:t>מסכימים</w:t>
      </w:r>
      <w:r w:rsidRPr="00220C7C">
        <w:rPr>
          <w:rtl/>
        </w:rPr>
        <w:t xml:space="preserve"> </w:t>
      </w:r>
      <w:r w:rsidRPr="00220C7C">
        <w:rPr>
          <w:rFonts w:hint="eastAsia"/>
          <w:rtl/>
        </w:rPr>
        <w:t>שאין</w:t>
      </w:r>
      <w:r w:rsidRPr="00220C7C">
        <w:rPr>
          <w:rtl/>
        </w:rPr>
        <w:t xml:space="preserve"> </w:t>
      </w:r>
      <w:r w:rsidRPr="00220C7C">
        <w:rPr>
          <w:rFonts w:hint="eastAsia"/>
          <w:rtl/>
        </w:rPr>
        <w:t>בתי</w:t>
      </w:r>
      <w:r w:rsidRPr="00220C7C">
        <w:rPr>
          <w:rtl/>
        </w:rPr>
        <w:t xml:space="preserve"> </w:t>
      </w:r>
      <w:r w:rsidRPr="00220C7C">
        <w:rPr>
          <w:rFonts w:hint="eastAsia"/>
          <w:rtl/>
        </w:rPr>
        <w:t>המשפט</w:t>
      </w:r>
      <w:r w:rsidRPr="00220C7C">
        <w:rPr>
          <w:rtl/>
        </w:rPr>
        <w:t xml:space="preserve"> </w:t>
      </w:r>
      <w:r w:rsidRPr="00220C7C">
        <w:rPr>
          <w:rFonts w:hint="eastAsia"/>
          <w:rtl/>
        </w:rPr>
        <w:t>יכולים</w:t>
      </w:r>
      <w:r w:rsidRPr="00220C7C">
        <w:rPr>
          <w:rtl/>
        </w:rPr>
        <w:t xml:space="preserve"> </w:t>
      </w:r>
      <w:r w:rsidRPr="00220C7C">
        <w:rPr>
          <w:rFonts w:hint="eastAsia"/>
          <w:rtl/>
        </w:rPr>
        <w:t>להרהר</w:t>
      </w:r>
      <w:r w:rsidRPr="00220C7C">
        <w:rPr>
          <w:rtl/>
        </w:rPr>
        <w:t xml:space="preserve"> </w:t>
      </w:r>
      <w:r w:rsidRPr="00220C7C">
        <w:rPr>
          <w:rFonts w:hint="eastAsia"/>
          <w:rtl/>
        </w:rPr>
        <w:t>אחרי</w:t>
      </w:r>
      <w:r w:rsidRPr="00220C7C">
        <w:rPr>
          <w:rtl/>
        </w:rPr>
        <w:t xml:space="preserve"> </w:t>
      </w:r>
      <w:r w:rsidRPr="00220C7C">
        <w:rPr>
          <w:rFonts w:hint="eastAsia"/>
          <w:rtl/>
        </w:rPr>
        <w:t>מידותיו</w:t>
      </w:r>
      <w:r w:rsidRPr="00220C7C">
        <w:rPr>
          <w:rtl/>
        </w:rPr>
        <w:t xml:space="preserve"> </w:t>
      </w:r>
      <w:r w:rsidRPr="00220C7C">
        <w:rPr>
          <w:rFonts w:hint="eastAsia"/>
          <w:rtl/>
        </w:rPr>
        <w:t>של</w:t>
      </w:r>
      <w:r w:rsidRPr="00220C7C">
        <w:rPr>
          <w:rtl/>
        </w:rPr>
        <w:t xml:space="preserve"> </w:t>
      </w:r>
      <w:r w:rsidRPr="00220C7C">
        <w:rPr>
          <w:rFonts w:hint="eastAsia"/>
          <w:rtl/>
        </w:rPr>
        <w:t>המחוקק</w:t>
      </w:r>
      <w:r w:rsidRPr="00220C7C">
        <w:rPr>
          <w:rtl/>
        </w:rPr>
        <w:t xml:space="preserve"> </w:t>
      </w:r>
      <w:r w:rsidRPr="00220C7C">
        <w:rPr>
          <w:rFonts w:hint="eastAsia"/>
          <w:rtl/>
        </w:rPr>
        <w:t>הריבוני</w:t>
      </w:r>
      <w:r w:rsidRPr="00220C7C">
        <w:rPr>
          <w:rtl/>
        </w:rPr>
        <w:t xml:space="preserve"> </w:t>
      </w:r>
      <w:r w:rsidRPr="00220C7C">
        <w:rPr>
          <w:rFonts w:hint="eastAsia"/>
          <w:rtl/>
        </w:rPr>
        <w:t>כפי</w:t>
      </w:r>
      <w:r w:rsidRPr="00220C7C">
        <w:rPr>
          <w:rtl/>
        </w:rPr>
        <w:t xml:space="preserve"> </w:t>
      </w:r>
      <w:r w:rsidRPr="00220C7C">
        <w:rPr>
          <w:rFonts w:hint="eastAsia"/>
          <w:rtl/>
        </w:rPr>
        <w:t>שהן</w:t>
      </w:r>
      <w:r w:rsidRPr="00220C7C">
        <w:rPr>
          <w:rtl/>
        </w:rPr>
        <w:t xml:space="preserve"> </w:t>
      </w:r>
      <w:r w:rsidRPr="00220C7C">
        <w:rPr>
          <w:rFonts w:hint="eastAsia"/>
          <w:rtl/>
        </w:rPr>
        <w:t>מוצאות</w:t>
      </w:r>
      <w:r w:rsidRPr="00220C7C">
        <w:rPr>
          <w:rtl/>
        </w:rPr>
        <w:t xml:space="preserve"> </w:t>
      </w:r>
      <w:r w:rsidRPr="00220C7C">
        <w:rPr>
          <w:rFonts w:hint="eastAsia"/>
          <w:rtl/>
        </w:rPr>
        <w:t>את</w:t>
      </w:r>
      <w:r w:rsidRPr="00220C7C">
        <w:rPr>
          <w:rtl/>
        </w:rPr>
        <w:t xml:space="preserve"> </w:t>
      </w:r>
      <w:r w:rsidRPr="00220C7C">
        <w:rPr>
          <w:rFonts w:hint="eastAsia"/>
          <w:rtl/>
        </w:rPr>
        <w:t>ביטויין</w:t>
      </w:r>
      <w:r w:rsidRPr="00220C7C">
        <w:rPr>
          <w:rtl/>
        </w:rPr>
        <w:t xml:space="preserve"> </w:t>
      </w:r>
      <w:r w:rsidRPr="00220C7C">
        <w:rPr>
          <w:rFonts w:hint="eastAsia"/>
          <w:rtl/>
        </w:rPr>
        <w:t>בחוקים</w:t>
      </w:r>
      <w:r w:rsidRPr="00220C7C">
        <w:rPr>
          <w:rtl/>
        </w:rPr>
        <w:t xml:space="preserve"> </w:t>
      </w:r>
      <w:r w:rsidRPr="00220C7C">
        <w:rPr>
          <w:rFonts w:hint="eastAsia"/>
          <w:rtl/>
        </w:rPr>
        <w:t>המתקבלים</w:t>
      </w:r>
      <w:r w:rsidRPr="00220C7C">
        <w:rPr>
          <w:rtl/>
        </w:rPr>
        <w:t xml:space="preserve"> </w:t>
      </w:r>
      <w:r w:rsidRPr="00220C7C">
        <w:rPr>
          <w:rFonts w:hint="eastAsia"/>
          <w:rtl/>
        </w:rPr>
        <w:t>על</w:t>
      </w:r>
      <w:r w:rsidRPr="00220C7C">
        <w:rPr>
          <w:rtl/>
        </w:rPr>
        <w:t xml:space="preserve"> </w:t>
      </w:r>
      <w:r w:rsidRPr="00220C7C">
        <w:rPr>
          <w:rFonts w:hint="eastAsia"/>
          <w:rtl/>
        </w:rPr>
        <w:t>ידיו</w:t>
      </w:r>
      <w:r w:rsidRPr="00220C7C">
        <w:rPr>
          <w:rtl/>
        </w:rPr>
        <w:t xml:space="preserve">. </w:t>
      </w:r>
      <w:r w:rsidRPr="00220C7C">
        <w:rPr>
          <w:rFonts w:hint="eastAsia"/>
          <w:rtl/>
        </w:rPr>
        <w:t>בית</w:t>
      </w:r>
      <w:r w:rsidRPr="00220C7C">
        <w:rPr>
          <w:rtl/>
        </w:rPr>
        <w:t xml:space="preserve"> </w:t>
      </w:r>
      <w:r w:rsidRPr="00220C7C">
        <w:rPr>
          <w:rFonts w:hint="eastAsia"/>
          <w:rtl/>
        </w:rPr>
        <w:t>המשפט</w:t>
      </w:r>
      <w:r w:rsidRPr="00220C7C">
        <w:rPr>
          <w:rtl/>
        </w:rPr>
        <w:t xml:space="preserve"> </w:t>
      </w:r>
      <w:r w:rsidRPr="00220C7C">
        <w:rPr>
          <w:rFonts w:hint="eastAsia"/>
          <w:rtl/>
        </w:rPr>
        <w:t>יכול</w:t>
      </w:r>
      <w:r w:rsidRPr="00220C7C">
        <w:rPr>
          <w:rtl/>
        </w:rPr>
        <w:t xml:space="preserve"> </w:t>
      </w:r>
      <w:r w:rsidRPr="00220C7C">
        <w:rPr>
          <w:rFonts w:hint="eastAsia"/>
          <w:rtl/>
        </w:rPr>
        <w:t>רק</w:t>
      </w:r>
      <w:r w:rsidRPr="00220C7C">
        <w:rPr>
          <w:rtl/>
        </w:rPr>
        <w:t xml:space="preserve"> </w:t>
      </w:r>
      <w:r w:rsidRPr="00220C7C">
        <w:rPr>
          <w:rFonts w:hint="eastAsia"/>
          <w:rtl/>
        </w:rPr>
        <w:t>לפרש</w:t>
      </w:r>
      <w:r w:rsidRPr="00220C7C">
        <w:rPr>
          <w:rtl/>
        </w:rPr>
        <w:t xml:space="preserve"> </w:t>
      </w:r>
      <w:r w:rsidRPr="00220C7C">
        <w:rPr>
          <w:rFonts w:hint="eastAsia"/>
          <w:rtl/>
        </w:rPr>
        <w:t>חוק</w:t>
      </w:r>
      <w:r w:rsidRPr="00220C7C">
        <w:rPr>
          <w:rtl/>
        </w:rPr>
        <w:t xml:space="preserve"> </w:t>
      </w:r>
      <w:r w:rsidRPr="00220C7C">
        <w:rPr>
          <w:rFonts w:hint="eastAsia"/>
          <w:rtl/>
        </w:rPr>
        <w:t>הכנסת</w:t>
      </w:r>
      <w:r w:rsidRPr="00220C7C">
        <w:rPr>
          <w:rtl/>
        </w:rPr>
        <w:t xml:space="preserve"> </w:t>
      </w:r>
      <w:r w:rsidRPr="00220C7C">
        <w:rPr>
          <w:rFonts w:hint="eastAsia"/>
          <w:rtl/>
        </w:rPr>
        <w:t>ולא</w:t>
      </w:r>
      <w:r w:rsidRPr="00220C7C">
        <w:rPr>
          <w:rtl/>
        </w:rPr>
        <w:t xml:space="preserve"> </w:t>
      </w:r>
      <w:r w:rsidRPr="00220C7C">
        <w:rPr>
          <w:rFonts w:hint="eastAsia"/>
          <w:rtl/>
        </w:rPr>
        <w:t>להעמיד</w:t>
      </w:r>
      <w:r w:rsidRPr="00220C7C">
        <w:rPr>
          <w:rtl/>
        </w:rPr>
        <w:t xml:space="preserve"> </w:t>
      </w:r>
      <w:r w:rsidRPr="00220C7C">
        <w:rPr>
          <w:rFonts w:hint="eastAsia"/>
          <w:rtl/>
        </w:rPr>
        <w:t>בסימן</w:t>
      </w:r>
      <w:r w:rsidRPr="00220C7C">
        <w:rPr>
          <w:rtl/>
        </w:rPr>
        <w:t xml:space="preserve"> </w:t>
      </w:r>
      <w:r w:rsidRPr="00220C7C">
        <w:rPr>
          <w:rFonts w:hint="eastAsia"/>
          <w:rtl/>
        </w:rPr>
        <w:t>שאלה</w:t>
      </w:r>
      <w:r w:rsidRPr="00220C7C">
        <w:rPr>
          <w:rtl/>
        </w:rPr>
        <w:t xml:space="preserve"> </w:t>
      </w:r>
      <w:r w:rsidRPr="00220C7C">
        <w:rPr>
          <w:rFonts w:hint="eastAsia"/>
          <w:rtl/>
        </w:rPr>
        <w:t>תוקפו</w:t>
      </w:r>
      <w:r w:rsidRPr="00220C7C">
        <w:rPr>
          <w:rtl/>
        </w:rPr>
        <w:t xml:space="preserve"> </w:t>
      </w:r>
      <w:r w:rsidRPr="00220C7C">
        <w:rPr>
          <w:rFonts w:hint="eastAsia"/>
          <w:rtl/>
        </w:rPr>
        <w:t>של</w:t>
      </w:r>
      <w:r w:rsidRPr="00220C7C">
        <w:rPr>
          <w:rtl/>
        </w:rPr>
        <w:t xml:space="preserve"> </w:t>
      </w:r>
      <w:r w:rsidRPr="00220C7C">
        <w:rPr>
          <w:rFonts w:hint="eastAsia"/>
          <w:rtl/>
        </w:rPr>
        <w:t>חוק</w:t>
      </w:r>
      <w:r w:rsidRPr="00220C7C">
        <w:rPr>
          <w:rtl/>
        </w:rPr>
        <w:t xml:space="preserve"> </w:t>
      </w:r>
      <w:r w:rsidRPr="00220C7C">
        <w:rPr>
          <w:rFonts w:hint="eastAsia"/>
          <w:rtl/>
        </w:rPr>
        <w:t>ונכונות</w:t>
      </w:r>
      <w:r w:rsidRPr="00220C7C">
        <w:rPr>
          <w:rtl/>
        </w:rPr>
        <w:t xml:space="preserve"> </w:t>
      </w:r>
      <w:r w:rsidRPr="00220C7C">
        <w:rPr>
          <w:rFonts w:hint="eastAsia"/>
          <w:rtl/>
        </w:rPr>
        <w:t>הדברים</w:t>
      </w:r>
      <w:r w:rsidRPr="00220C7C">
        <w:rPr>
          <w:rtl/>
        </w:rPr>
        <w:t xml:space="preserve"> </w:t>
      </w:r>
      <w:r w:rsidRPr="00220C7C">
        <w:rPr>
          <w:rFonts w:hint="eastAsia"/>
          <w:rtl/>
        </w:rPr>
        <w:t>האמורים</w:t>
      </w:r>
      <w:r w:rsidRPr="00220C7C">
        <w:rPr>
          <w:rtl/>
        </w:rPr>
        <w:t xml:space="preserve"> </w:t>
      </w:r>
      <w:r w:rsidRPr="00220C7C">
        <w:rPr>
          <w:rFonts w:hint="eastAsia"/>
          <w:rtl/>
        </w:rPr>
        <w:t>בו</w:t>
      </w:r>
      <w:r w:rsidRPr="00220C7C">
        <w:rPr>
          <w:rtl/>
        </w:rPr>
        <w:t xml:space="preserve">. </w:t>
      </w:r>
      <w:r w:rsidRPr="00220C7C">
        <w:rPr>
          <w:rFonts w:hint="eastAsia"/>
          <w:rtl/>
        </w:rPr>
        <w:t>בספר</w:t>
      </w:r>
      <w:r w:rsidRPr="00220C7C">
        <w:rPr>
          <w:rtl/>
        </w:rPr>
        <w:t xml:space="preserve"> </w:t>
      </w:r>
      <w:r w:rsidRPr="00220C7C">
        <w:rPr>
          <w:rFonts w:hint="eastAsia"/>
          <w:rtl/>
        </w:rPr>
        <w:t>של</w:t>
      </w:r>
      <w:r w:rsidRPr="00220C7C">
        <w:rPr>
          <w:rtl/>
        </w:rPr>
        <w:t xml:space="preserve"> </w:t>
      </w:r>
      <w:r w:rsidRPr="00FB3BBD">
        <w:rPr>
          <w:rFonts w:asciiTheme="majorBidi" w:hAnsiTheme="majorBidi" w:cstheme="majorBidi"/>
          <w:sz w:val="24"/>
          <w:szCs w:val="24"/>
        </w:rPr>
        <w:t>Keir &amp; Lawson</w:t>
      </w:r>
      <w:r w:rsidRPr="00FB3BBD">
        <w:rPr>
          <w:rFonts w:asciiTheme="majorBidi" w:hAnsiTheme="majorBidi" w:cstheme="majorBidi"/>
          <w:sz w:val="24"/>
          <w:szCs w:val="24"/>
          <w:rtl/>
        </w:rPr>
        <w:t xml:space="preserve"> </w:t>
      </w:r>
      <w:r w:rsidRPr="00220C7C">
        <w:rPr>
          <w:rFonts w:hint="eastAsia"/>
          <w:rtl/>
        </w:rPr>
        <w:t>על</w:t>
      </w:r>
      <w:r w:rsidRPr="00220C7C">
        <w:rPr>
          <w:rtl/>
        </w:rPr>
        <w:t xml:space="preserve"> </w:t>
      </w:r>
      <w:r w:rsidRPr="00220C7C">
        <w:rPr>
          <w:rFonts w:hint="eastAsia"/>
          <w:rtl/>
        </w:rPr>
        <w:t>המשפט</w:t>
      </w:r>
      <w:r w:rsidRPr="00220C7C">
        <w:rPr>
          <w:rtl/>
        </w:rPr>
        <w:t xml:space="preserve"> </w:t>
      </w:r>
      <w:r w:rsidRPr="00220C7C">
        <w:rPr>
          <w:rFonts w:hint="eastAsia"/>
          <w:rtl/>
        </w:rPr>
        <w:t>הקונסטיטוציוני</w:t>
      </w:r>
      <w:r w:rsidRPr="00220C7C">
        <w:rPr>
          <w:rtl/>
        </w:rPr>
        <w:t xml:space="preserve"> </w:t>
      </w:r>
      <w:r w:rsidRPr="00220C7C">
        <w:rPr>
          <w:rFonts w:hint="eastAsia"/>
          <w:rtl/>
        </w:rPr>
        <w:t>מובאים</w:t>
      </w:r>
      <w:r w:rsidRPr="00220C7C">
        <w:rPr>
          <w:rtl/>
        </w:rPr>
        <w:t xml:space="preserve"> </w:t>
      </w:r>
      <w:r w:rsidRPr="00220C7C">
        <w:rPr>
          <w:rFonts w:hint="eastAsia"/>
          <w:rtl/>
        </w:rPr>
        <w:t>הדברים</w:t>
      </w:r>
      <w:r w:rsidRPr="00220C7C">
        <w:rPr>
          <w:rtl/>
        </w:rPr>
        <w:t xml:space="preserve"> </w:t>
      </w:r>
      <w:r w:rsidRPr="00220C7C">
        <w:rPr>
          <w:rFonts w:hint="eastAsia"/>
          <w:rtl/>
        </w:rPr>
        <w:t>הבאים</w:t>
      </w:r>
      <w:r>
        <w:rPr>
          <w:rFonts w:hint="cs"/>
          <w:rtl/>
        </w:rPr>
        <w:t xml:space="preserve"> [מפסיקתם של בתי המשפט של בריטניה בנוגע לחוקי הפרלמנט הבריטי </w:t>
      </w:r>
      <w:r>
        <w:rPr>
          <w:rtl/>
        </w:rPr>
        <w:t>–</w:t>
      </w:r>
      <w:r>
        <w:rPr>
          <w:rFonts w:hint="cs"/>
          <w:rtl/>
        </w:rPr>
        <w:t xml:space="preserve"> א.ש.]: '</w:t>
      </w:r>
      <w:r w:rsidRPr="00220C7C">
        <w:rPr>
          <w:rFonts w:hint="eastAsia"/>
          <w:rtl/>
        </w:rPr>
        <w:t>בשבילנו</w:t>
      </w:r>
      <w:r w:rsidRPr="00220C7C">
        <w:rPr>
          <w:rtl/>
        </w:rPr>
        <w:t xml:space="preserve"> </w:t>
      </w:r>
      <w:r w:rsidRPr="00220C7C">
        <w:rPr>
          <w:rFonts w:hint="eastAsia"/>
          <w:rtl/>
        </w:rPr>
        <w:t>חוק</w:t>
      </w:r>
      <w:r w:rsidRPr="00220C7C">
        <w:rPr>
          <w:rtl/>
        </w:rPr>
        <w:t xml:space="preserve"> </w:t>
      </w:r>
      <w:r w:rsidRPr="00220C7C">
        <w:rPr>
          <w:rFonts w:hint="eastAsia"/>
          <w:rtl/>
        </w:rPr>
        <w:t>הפרלמנט</w:t>
      </w:r>
      <w:r w:rsidRPr="00220C7C">
        <w:rPr>
          <w:rtl/>
        </w:rPr>
        <w:t xml:space="preserve">, </w:t>
      </w:r>
      <w:r w:rsidRPr="00220C7C">
        <w:rPr>
          <w:rFonts w:hint="eastAsia"/>
          <w:rtl/>
        </w:rPr>
        <w:t>שעבר</w:t>
      </w:r>
      <w:r w:rsidRPr="00220C7C">
        <w:rPr>
          <w:rtl/>
        </w:rPr>
        <w:t xml:space="preserve"> </w:t>
      </w:r>
      <w:r w:rsidRPr="00220C7C">
        <w:rPr>
          <w:rFonts w:hint="eastAsia"/>
          <w:rtl/>
        </w:rPr>
        <w:t>את</w:t>
      </w:r>
      <w:r w:rsidRPr="00220C7C">
        <w:rPr>
          <w:rtl/>
        </w:rPr>
        <w:t xml:space="preserve"> </w:t>
      </w:r>
      <w:r w:rsidRPr="00220C7C">
        <w:rPr>
          <w:rFonts w:hint="eastAsia"/>
          <w:rtl/>
        </w:rPr>
        <w:t>בית</w:t>
      </w:r>
      <w:r w:rsidRPr="00220C7C">
        <w:rPr>
          <w:rtl/>
        </w:rPr>
        <w:t xml:space="preserve"> </w:t>
      </w:r>
      <w:r w:rsidRPr="00220C7C">
        <w:rPr>
          <w:rFonts w:hint="eastAsia"/>
          <w:rtl/>
        </w:rPr>
        <w:t>הלורדים</w:t>
      </w:r>
      <w:r w:rsidRPr="00220C7C">
        <w:rPr>
          <w:rtl/>
        </w:rPr>
        <w:t xml:space="preserve"> </w:t>
      </w:r>
      <w:r w:rsidRPr="00220C7C">
        <w:rPr>
          <w:rFonts w:hint="eastAsia"/>
          <w:rtl/>
        </w:rPr>
        <w:t>ובית</w:t>
      </w:r>
      <w:r w:rsidRPr="00220C7C">
        <w:rPr>
          <w:rtl/>
        </w:rPr>
        <w:t xml:space="preserve"> </w:t>
      </w:r>
      <w:r w:rsidRPr="00220C7C">
        <w:rPr>
          <w:rFonts w:hint="eastAsia"/>
          <w:rtl/>
        </w:rPr>
        <w:lastRenderedPageBreak/>
        <w:t>הנבחרים</w:t>
      </w:r>
      <w:r w:rsidRPr="00220C7C">
        <w:rPr>
          <w:rtl/>
        </w:rPr>
        <w:t xml:space="preserve"> </w:t>
      </w:r>
      <w:r w:rsidRPr="00220C7C">
        <w:rPr>
          <w:rFonts w:hint="eastAsia"/>
          <w:rtl/>
        </w:rPr>
        <w:t>ואושר</w:t>
      </w:r>
      <w:r w:rsidRPr="00220C7C">
        <w:rPr>
          <w:rtl/>
        </w:rPr>
        <w:t xml:space="preserve"> </w:t>
      </w:r>
      <w:r w:rsidRPr="00220C7C">
        <w:rPr>
          <w:rFonts w:hint="eastAsia"/>
          <w:rtl/>
        </w:rPr>
        <w:t>על</w:t>
      </w:r>
      <w:r w:rsidRPr="00220C7C">
        <w:rPr>
          <w:rtl/>
        </w:rPr>
        <w:t xml:space="preserve"> </w:t>
      </w:r>
      <w:r w:rsidRPr="00220C7C">
        <w:rPr>
          <w:rFonts w:hint="eastAsia"/>
          <w:rtl/>
        </w:rPr>
        <w:t>ידי</w:t>
      </w:r>
      <w:r w:rsidRPr="00220C7C">
        <w:rPr>
          <w:rtl/>
        </w:rPr>
        <w:t xml:space="preserve"> </w:t>
      </w:r>
      <w:r w:rsidRPr="00220C7C">
        <w:rPr>
          <w:rFonts w:hint="eastAsia"/>
          <w:rtl/>
        </w:rPr>
        <w:t>המלך</w:t>
      </w:r>
      <w:r w:rsidRPr="00220C7C">
        <w:rPr>
          <w:rtl/>
        </w:rPr>
        <w:t xml:space="preserve">, </w:t>
      </w:r>
      <w:r w:rsidRPr="00220C7C">
        <w:rPr>
          <w:rFonts w:hint="eastAsia"/>
          <w:rtl/>
        </w:rPr>
        <w:t>הוא</w:t>
      </w:r>
      <w:r w:rsidRPr="00220C7C">
        <w:rPr>
          <w:rtl/>
        </w:rPr>
        <w:t xml:space="preserve"> </w:t>
      </w:r>
      <w:r w:rsidRPr="00220C7C">
        <w:rPr>
          <w:rFonts w:hint="eastAsia"/>
          <w:rtl/>
        </w:rPr>
        <w:t>מעל</w:t>
      </w:r>
      <w:r w:rsidRPr="00220C7C">
        <w:rPr>
          <w:rtl/>
        </w:rPr>
        <w:t xml:space="preserve"> </w:t>
      </w:r>
      <w:r w:rsidRPr="00220C7C">
        <w:rPr>
          <w:rFonts w:hint="eastAsia"/>
          <w:rtl/>
        </w:rPr>
        <w:t>לכל</w:t>
      </w:r>
      <w:r w:rsidRPr="00220C7C">
        <w:rPr>
          <w:rtl/>
        </w:rPr>
        <w:t xml:space="preserve"> </w:t>
      </w:r>
      <w:r w:rsidRPr="00220C7C">
        <w:rPr>
          <w:rFonts w:hint="eastAsia"/>
          <w:rtl/>
        </w:rPr>
        <w:t>ואנו</w:t>
      </w:r>
      <w:r w:rsidRPr="00220C7C">
        <w:rPr>
          <w:rtl/>
        </w:rPr>
        <w:t xml:space="preserve"> </w:t>
      </w:r>
      <w:r w:rsidRPr="00220C7C">
        <w:rPr>
          <w:rFonts w:hint="eastAsia"/>
          <w:rtl/>
        </w:rPr>
        <w:t>חייבים</w:t>
      </w:r>
      <w:r w:rsidRPr="00220C7C">
        <w:rPr>
          <w:rtl/>
        </w:rPr>
        <w:t xml:space="preserve"> </w:t>
      </w:r>
      <w:r w:rsidRPr="00220C7C">
        <w:rPr>
          <w:rFonts w:hint="eastAsia"/>
          <w:rtl/>
        </w:rPr>
        <w:t>לתת</w:t>
      </w:r>
      <w:r w:rsidRPr="00220C7C">
        <w:rPr>
          <w:rtl/>
        </w:rPr>
        <w:t xml:space="preserve"> </w:t>
      </w:r>
      <w:r w:rsidRPr="00220C7C">
        <w:rPr>
          <w:rFonts w:hint="eastAsia"/>
          <w:rtl/>
        </w:rPr>
        <w:t>תוקף</w:t>
      </w:r>
      <w:r w:rsidRPr="00220C7C">
        <w:rPr>
          <w:rtl/>
        </w:rPr>
        <w:t xml:space="preserve"> </w:t>
      </w:r>
      <w:r w:rsidRPr="00220C7C">
        <w:rPr>
          <w:rFonts w:hint="eastAsia"/>
          <w:rtl/>
        </w:rPr>
        <w:t>להוראותיו</w:t>
      </w:r>
      <w:r>
        <w:rPr>
          <w:rtl/>
        </w:rPr>
        <w:t>.</w:t>
      </w:r>
      <w:r>
        <w:rPr>
          <w:rFonts w:hint="cs"/>
          <w:rtl/>
        </w:rPr>
        <w:t>'</w:t>
      </w:r>
      <w:r w:rsidRPr="00220C7C">
        <w:rPr>
          <w:rtl/>
        </w:rPr>
        <w:t>"</w:t>
      </w:r>
      <w:r>
        <w:rPr>
          <w:rFonts w:hint="cs"/>
          <w:rtl/>
        </w:rPr>
        <w:t xml:space="preserve"> (ראו: </w:t>
      </w:r>
      <w:r w:rsidRPr="00126DC0">
        <w:rPr>
          <w:rFonts w:ascii="Century" w:hAnsi="Century" w:cs="Miriam" w:hint="eastAsia"/>
          <w:b/>
          <w:spacing w:val="0"/>
          <w:szCs w:val="24"/>
          <w:rtl/>
        </w:rPr>
        <w:t>שם</w:t>
      </w:r>
      <w:r>
        <w:rPr>
          <w:rFonts w:hint="cs"/>
          <w:rtl/>
        </w:rPr>
        <w:t>, בעמ' 349).</w:t>
      </w:r>
    </w:p>
    <w:p w:rsidR="00553FDC" w:rsidRDefault="00553FDC" w:rsidP="00553FDC">
      <w:pPr>
        <w:pStyle w:val="Ruller5"/>
        <w:rPr>
          <w:rtl/>
        </w:rPr>
      </w:pPr>
    </w:p>
    <w:p w:rsidR="00553FDC" w:rsidRPr="00220C7C" w:rsidRDefault="00553FDC" w:rsidP="00553FDC">
      <w:pPr>
        <w:pStyle w:val="Ruller41"/>
        <w:rPr>
          <w:rtl/>
        </w:rPr>
      </w:pPr>
      <w:r>
        <w:rPr>
          <w:rFonts w:hint="cs"/>
          <w:rtl/>
        </w:rPr>
        <w:tab/>
        <w:t xml:space="preserve">הכל מסכימים כי דברים אלה </w:t>
      </w:r>
      <w:r>
        <w:rPr>
          <w:rtl/>
        </w:rPr>
        <w:t>–</w:t>
      </w:r>
      <w:r>
        <w:rPr>
          <w:rFonts w:hint="cs"/>
          <w:rtl/>
        </w:rPr>
        <w:t xml:space="preserve"> ודברים דומים אשר הופיעו בפסיקתנו לפני חקיקת חוקי היסוד </w:t>
      </w:r>
      <w:r>
        <w:rPr>
          <w:rtl/>
        </w:rPr>
        <w:t>–</w:t>
      </w:r>
      <w:r>
        <w:rPr>
          <w:rFonts w:hint="cs"/>
          <w:rtl/>
        </w:rPr>
        <w:t xml:space="preserve"> אינם נכונים עוד. דא עקא, הנני סבור כי דברים אלו לא היו נכונים גם בזמן כתיבתם לנוכח המגבלות שהטילה הכרזת העצמאות על מלאכת החקיקה מראשית ימי המדינה, ולנוכח מעמדה של הכרזה זו כנורמה בסיסית של הדין הישראלי. כפי שכבר צויין על ידי, הכנסת מעולם לא קיבלה לידיה סמכויות חקיקה בלתי מוגבלות, ועל כן אין </w:t>
      </w:r>
      <w:r>
        <w:rPr>
          <w:rtl/>
        </w:rPr>
        <w:t>–</w:t>
      </w:r>
      <w:r>
        <w:rPr>
          <w:rFonts w:hint="cs"/>
          <w:rtl/>
        </w:rPr>
        <w:t xml:space="preserve"> ומעולם לא היה </w:t>
      </w:r>
      <w:r>
        <w:rPr>
          <w:rtl/>
        </w:rPr>
        <w:t>–</w:t>
      </w:r>
      <w:r>
        <w:rPr>
          <w:rFonts w:hint="cs"/>
          <w:rtl/>
        </w:rPr>
        <w:t xml:space="preserve"> מקום לגזור גזירה שווה בין כוחותיה לבין אלו של הפרלמנט הבריטי. </w:t>
      </w:r>
    </w:p>
    <w:p w:rsidR="00553FDC" w:rsidRPr="00DA36F1" w:rsidRDefault="00553FDC" w:rsidP="00553FDC">
      <w:pPr>
        <w:pStyle w:val="Ruller41"/>
        <w:rPr>
          <w:rtl/>
        </w:rPr>
      </w:pPr>
    </w:p>
    <w:p w:rsidR="00553FDC" w:rsidRPr="00C1304E" w:rsidRDefault="00553FDC" w:rsidP="00553FDC">
      <w:pPr>
        <w:pStyle w:val="Ruller41"/>
        <w:rPr>
          <w:rFonts w:ascii="Century" w:hAnsi="Century" w:cs="Miriam"/>
          <w:b/>
          <w:spacing w:val="0"/>
          <w:szCs w:val="24"/>
          <w:rtl/>
        </w:rPr>
      </w:pPr>
      <w:r>
        <w:rPr>
          <w:rFonts w:ascii="Century" w:hAnsi="Century" w:cs="Miriam" w:hint="cs"/>
          <w:b/>
          <w:spacing w:val="0"/>
          <w:szCs w:val="24"/>
          <w:rtl/>
        </w:rPr>
        <w:t>עיקרון ה</w:t>
      </w:r>
      <w:r w:rsidRPr="00C1304E">
        <w:rPr>
          <w:rFonts w:ascii="Century" w:hAnsi="Century" w:cs="Miriam" w:hint="cs"/>
          <w:b/>
          <w:spacing w:val="0"/>
          <w:szCs w:val="24"/>
          <w:rtl/>
        </w:rPr>
        <w:t>שוויון</w:t>
      </w:r>
      <w:r>
        <w:rPr>
          <w:rFonts w:ascii="Century" w:hAnsi="Century" w:cs="Miriam" w:hint="cs"/>
          <w:b/>
          <w:spacing w:val="0"/>
          <w:szCs w:val="24"/>
          <w:rtl/>
        </w:rPr>
        <w:t xml:space="preserve"> הגמור</w:t>
      </w:r>
      <w:r w:rsidRPr="00C1304E">
        <w:rPr>
          <w:rFonts w:ascii="Century" w:hAnsi="Century" w:cs="Miriam" w:hint="cs"/>
          <w:b/>
          <w:spacing w:val="0"/>
          <w:szCs w:val="24"/>
          <w:rtl/>
        </w:rPr>
        <w:t xml:space="preserve"> </w:t>
      </w:r>
    </w:p>
    <w:p w:rsidR="00553FDC" w:rsidRPr="0046062E" w:rsidRDefault="00553FDC" w:rsidP="00553FDC">
      <w:pPr>
        <w:pStyle w:val="Ruller41"/>
        <w:rPr>
          <w:rtl/>
        </w:rPr>
      </w:pPr>
    </w:p>
    <w:p w:rsidR="00553FDC" w:rsidRDefault="00553FDC" w:rsidP="00553FDC">
      <w:pPr>
        <w:pStyle w:val="Ruller4"/>
        <w:rPr>
          <w:rtl/>
        </w:rPr>
      </w:pPr>
      <w:r>
        <w:rPr>
          <w:rFonts w:hint="cs"/>
          <w:rtl/>
        </w:rPr>
        <w:t>הכרזת העצמאות קובעת את עיקרון השוויון הגמור, המחייב את הכנסת, במילים אלו:</w:t>
      </w:r>
    </w:p>
    <w:p w:rsidR="00553FDC" w:rsidRDefault="00553FDC" w:rsidP="00553FDC">
      <w:pPr>
        <w:pStyle w:val="Ruller5"/>
        <w:rPr>
          <w:rtl/>
        </w:rPr>
      </w:pPr>
      <w:r>
        <w:rPr>
          <w:rFonts w:hint="cs"/>
          <w:rtl/>
        </w:rPr>
        <w:t xml:space="preserve">"מדינת ישראל [...] </w:t>
      </w:r>
      <w:r>
        <w:rPr>
          <w:rFonts w:hint="eastAsia"/>
          <w:rtl/>
        </w:rPr>
        <w:t>תקיים</w:t>
      </w:r>
      <w:r>
        <w:rPr>
          <w:rtl/>
        </w:rPr>
        <w:t xml:space="preserve"> </w:t>
      </w:r>
      <w:r>
        <w:rPr>
          <w:rFonts w:hint="eastAsia"/>
          <w:rtl/>
        </w:rPr>
        <w:t>שויון</w:t>
      </w:r>
      <w:r>
        <w:rPr>
          <w:rtl/>
        </w:rPr>
        <w:t xml:space="preserve"> </w:t>
      </w:r>
      <w:r>
        <w:rPr>
          <w:rFonts w:hint="eastAsia"/>
          <w:rtl/>
        </w:rPr>
        <w:t>זכויו</w:t>
      </w:r>
      <w:r>
        <w:rPr>
          <w:rFonts w:ascii="Arial" w:hAnsi="Arial" w:cs="Arial" w:hint="cs"/>
          <w:rtl/>
        </w:rPr>
        <w:t>​</w:t>
      </w:r>
      <w:r>
        <w:rPr>
          <w:rFonts w:ascii="FrankRuehl" w:hAnsi="FrankRuehl" w:hint="cs"/>
          <w:rtl/>
        </w:rPr>
        <w:t>ת</w:t>
      </w:r>
      <w:r>
        <w:rPr>
          <w:rtl/>
        </w:rPr>
        <w:t xml:space="preserve"> </w:t>
      </w:r>
      <w:r>
        <w:rPr>
          <w:rFonts w:hint="eastAsia"/>
          <w:rtl/>
        </w:rPr>
        <w:t>חברתי</w:t>
      </w:r>
      <w:r>
        <w:rPr>
          <w:rtl/>
        </w:rPr>
        <w:t xml:space="preserve"> </w:t>
      </w:r>
      <w:r>
        <w:rPr>
          <w:rFonts w:hint="eastAsia"/>
          <w:rtl/>
        </w:rPr>
        <w:t>ומדיני</w:t>
      </w:r>
      <w:r>
        <w:rPr>
          <w:rtl/>
        </w:rPr>
        <w:t xml:space="preserve"> </w:t>
      </w:r>
      <w:r>
        <w:rPr>
          <w:rFonts w:hint="eastAsia"/>
          <w:rtl/>
        </w:rPr>
        <w:t>גמור</w:t>
      </w:r>
      <w:r>
        <w:rPr>
          <w:rtl/>
        </w:rPr>
        <w:t xml:space="preserve"> </w:t>
      </w:r>
      <w:r>
        <w:rPr>
          <w:rFonts w:hint="eastAsia"/>
          <w:rtl/>
        </w:rPr>
        <w:t>לכל</w:t>
      </w:r>
      <w:r>
        <w:rPr>
          <w:rtl/>
        </w:rPr>
        <w:t xml:space="preserve"> </w:t>
      </w:r>
      <w:r>
        <w:rPr>
          <w:rFonts w:hint="eastAsia"/>
          <w:rtl/>
        </w:rPr>
        <w:t>אזרחיה</w:t>
      </w:r>
      <w:r>
        <w:rPr>
          <w:rFonts w:hint="cs"/>
          <w:rtl/>
        </w:rPr>
        <w:t>".</w:t>
      </w:r>
    </w:p>
    <w:p w:rsidR="00553FDC" w:rsidRPr="002668CD" w:rsidRDefault="00553FDC" w:rsidP="00553FDC">
      <w:pPr>
        <w:pStyle w:val="Ruller5"/>
      </w:pPr>
    </w:p>
    <w:p w:rsidR="00553FDC" w:rsidRPr="00B8439E" w:rsidRDefault="00553FDC" w:rsidP="00553FDC">
      <w:pPr>
        <w:pStyle w:val="Ruller4"/>
      </w:pPr>
      <w:r>
        <w:rPr>
          <w:rFonts w:hint="cs"/>
          <w:rtl/>
        </w:rPr>
        <w:t xml:space="preserve">"שוויון זכויות חברתי ומדיני גמור" הוא מושג רחב-ממדים אשר מקפל בתוכו תפישות שונות ומגוונות של שוויון. תפישות אלה לא תמיד עולות בקנה אחד זו עם זו. כך הוא, למשל, עם שוויון הזדמנויות, לעומת שוויון חלוקתי או תוצאתי, וכן שוויון אשר מושג על ידי תיקון העיוותים החברתיים באמצעות העדפה מתקנת (ראו: </w:t>
      </w:r>
      <w:r w:rsidRPr="00680528">
        <w:rPr>
          <w:rFonts w:asciiTheme="majorBidi" w:hAnsiTheme="majorBidi" w:cstheme="majorBidi"/>
        </w:rPr>
        <w:t xml:space="preserve">Ronald Dworkin, </w:t>
      </w:r>
      <w:r w:rsidRPr="00680528">
        <w:rPr>
          <w:rFonts w:asciiTheme="majorBidi" w:hAnsiTheme="majorBidi" w:cstheme="majorBidi"/>
          <w:i/>
          <w:iCs/>
        </w:rPr>
        <w:t>Foundations of Liberal Equality</w:t>
      </w:r>
      <w:r w:rsidRPr="00680528">
        <w:rPr>
          <w:rFonts w:asciiTheme="majorBidi" w:hAnsiTheme="majorBidi" w:cstheme="majorBidi"/>
        </w:rPr>
        <w:t xml:space="preserve">, in 11 </w:t>
      </w:r>
      <w:r w:rsidRPr="00680528">
        <w:rPr>
          <w:rFonts w:asciiTheme="majorBidi" w:hAnsiTheme="majorBidi" w:cstheme="majorBidi"/>
          <w:smallCaps/>
        </w:rPr>
        <w:t xml:space="preserve">Tanner Lecture on Human Values </w:t>
      </w:r>
      <w:r w:rsidRPr="00680528">
        <w:rPr>
          <w:rFonts w:asciiTheme="majorBidi" w:hAnsiTheme="majorBidi" w:cstheme="majorBidi"/>
        </w:rPr>
        <w:t xml:space="preserve">(Grethe B. Peterson, ed., 1990); Ronald Dworkin, </w:t>
      </w:r>
      <w:r w:rsidRPr="00680528">
        <w:rPr>
          <w:rFonts w:asciiTheme="majorBidi" w:hAnsiTheme="majorBidi" w:cstheme="majorBidi"/>
          <w:i/>
          <w:iCs/>
        </w:rPr>
        <w:t>What is Equality? Part 3: The Place of Liberty</w:t>
      </w:r>
      <w:r w:rsidRPr="00680528">
        <w:rPr>
          <w:rFonts w:asciiTheme="majorBidi" w:hAnsiTheme="majorBidi" w:cstheme="majorBidi"/>
        </w:rPr>
        <w:t xml:space="preserve">, 73 </w:t>
      </w:r>
      <w:r w:rsidRPr="00680528">
        <w:rPr>
          <w:rFonts w:asciiTheme="majorBidi" w:hAnsiTheme="majorBidi" w:cstheme="majorBidi"/>
          <w:smallCaps/>
        </w:rPr>
        <w:t>Iowa L. Rev.</w:t>
      </w:r>
      <w:r w:rsidRPr="00680528">
        <w:rPr>
          <w:rFonts w:asciiTheme="majorBidi" w:hAnsiTheme="majorBidi" w:cstheme="majorBidi"/>
        </w:rPr>
        <w:t xml:space="preserve"> 1 (1987); Ronald Dworkin, </w:t>
      </w:r>
      <w:r w:rsidRPr="00680528">
        <w:rPr>
          <w:rFonts w:asciiTheme="majorBidi" w:hAnsiTheme="majorBidi" w:cstheme="majorBidi"/>
          <w:i/>
          <w:iCs/>
        </w:rPr>
        <w:t>What is Equality? Part 4: Political Equality</w:t>
      </w:r>
      <w:r w:rsidRPr="00680528">
        <w:rPr>
          <w:rFonts w:asciiTheme="majorBidi" w:hAnsiTheme="majorBidi" w:cstheme="majorBidi"/>
        </w:rPr>
        <w:t xml:space="preserve">, 22 </w:t>
      </w:r>
      <w:r w:rsidRPr="00680528">
        <w:rPr>
          <w:rFonts w:asciiTheme="majorBidi" w:hAnsiTheme="majorBidi" w:cstheme="majorBidi"/>
          <w:smallCaps/>
        </w:rPr>
        <w:t>U. San Francisco L. Rev.</w:t>
      </w:r>
      <w:r w:rsidRPr="00680528">
        <w:rPr>
          <w:rFonts w:asciiTheme="majorBidi" w:hAnsiTheme="majorBidi" w:cstheme="majorBidi"/>
        </w:rPr>
        <w:t xml:space="preserve"> 1 (1987)</w:t>
      </w:r>
      <w:r>
        <w:rPr>
          <w:rFonts w:hint="cs"/>
          <w:rtl/>
        </w:rPr>
        <w:t xml:space="preserve">). ריבוי תפישות כאמור קובע את אורכו ואת רוחבו של מרחב הפעולה השמור לבית המחוקקים שלנו. הכנסת מוסמכת לחוקק כל חוק שעולה בקנה אחד עם </w:t>
      </w:r>
      <w:r w:rsidRPr="00E35814">
        <w:rPr>
          <w:rFonts w:ascii="Century" w:hAnsi="Century" w:cs="Miriam" w:hint="cs"/>
          <w:b/>
          <w:spacing w:val="0"/>
          <w:sz w:val="22"/>
          <w:szCs w:val="24"/>
          <w:rtl/>
        </w:rPr>
        <w:t>אחת</w:t>
      </w:r>
      <w:r>
        <w:rPr>
          <w:rFonts w:hint="cs"/>
          <w:rtl/>
        </w:rPr>
        <w:t xml:space="preserve"> </w:t>
      </w:r>
      <w:r w:rsidRPr="00E35814">
        <w:rPr>
          <w:rFonts w:ascii="Century" w:hAnsi="Century" w:cs="Miriam" w:hint="cs"/>
          <w:b/>
          <w:spacing w:val="0"/>
          <w:sz w:val="22"/>
          <w:szCs w:val="24"/>
          <w:rtl/>
        </w:rPr>
        <w:t>התפישות</w:t>
      </w:r>
      <w:r>
        <w:rPr>
          <w:rFonts w:hint="cs"/>
          <w:rtl/>
        </w:rPr>
        <w:t xml:space="preserve"> המקובלות של שוויון. בחירתה באחת מתפישות אלה </w:t>
      </w:r>
      <w:r>
        <w:rPr>
          <w:rtl/>
        </w:rPr>
        <w:t>–</w:t>
      </w:r>
      <w:r>
        <w:rPr>
          <w:rFonts w:hint="cs"/>
          <w:rtl/>
        </w:rPr>
        <w:t xml:space="preserve"> על חשבון התפישות המתחרות </w:t>
      </w:r>
      <w:r>
        <w:rPr>
          <w:rtl/>
        </w:rPr>
        <w:t>–</w:t>
      </w:r>
      <w:r>
        <w:rPr>
          <w:rFonts w:hint="cs"/>
          <w:rtl/>
        </w:rPr>
        <w:t xml:space="preserve"> </w:t>
      </w:r>
      <w:r w:rsidRPr="003F1CA6">
        <w:rPr>
          <w:rFonts w:ascii="Century" w:hAnsi="Century" w:hint="cs"/>
          <w:sz w:val="22"/>
          <w:rtl/>
        </w:rPr>
        <w:t>תקיים אפוא</w:t>
      </w:r>
      <w:r w:rsidRPr="003F1CA6">
        <w:rPr>
          <w:rFonts w:hint="cs"/>
          <w:rtl/>
        </w:rPr>
        <w:t xml:space="preserve"> </w:t>
      </w:r>
      <w:r>
        <w:rPr>
          <w:rFonts w:hint="cs"/>
          <w:rtl/>
        </w:rPr>
        <w:t xml:space="preserve">את דרישתה של הכרזת העצמאות לשוויון זכויות חברתי ומדיני גמור. בחירה זו תהא חסינה מפני התערבות שיפוטית. כפי שכבר הזדמן לי להעיר, מדובר בבחירה שמקומה "ביום הבוחר, ולא ביום העותר" </w:t>
      </w:r>
      <w:r w:rsidRPr="000871DC">
        <w:rPr>
          <w:rtl/>
        </w:rPr>
        <w:t>(</w:t>
      </w:r>
      <w:r w:rsidRPr="000871DC">
        <w:rPr>
          <w:rFonts w:hint="eastAsia"/>
          <w:rtl/>
        </w:rPr>
        <w:t>ראו</w:t>
      </w:r>
      <w:r w:rsidRPr="000871DC">
        <w:rPr>
          <w:rtl/>
        </w:rPr>
        <w:t xml:space="preserve">: </w:t>
      </w:r>
      <w:r w:rsidRPr="000871DC">
        <w:rPr>
          <w:rFonts w:hint="eastAsia"/>
          <w:rtl/>
        </w:rPr>
        <w:t>בג</w:t>
      </w:r>
      <w:r w:rsidRPr="000871DC">
        <w:rPr>
          <w:rtl/>
        </w:rPr>
        <w:t>"</w:t>
      </w:r>
      <w:r w:rsidRPr="000871DC">
        <w:rPr>
          <w:rFonts w:hint="eastAsia"/>
          <w:rtl/>
        </w:rPr>
        <w:t>ץ</w:t>
      </w:r>
      <w:r w:rsidRPr="000871DC">
        <w:rPr>
          <w:rtl/>
        </w:rPr>
        <w:t xml:space="preserve"> 5004/14 </w:t>
      </w:r>
      <w:r w:rsidRPr="00B8439E">
        <w:rPr>
          <w:rFonts w:ascii="Century" w:hAnsi="Century" w:cs="Miriam" w:hint="eastAsia"/>
          <w:b/>
          <w:spacing w:val="0"/>
          <w:sz w:val="22"/>
          <w:szCs w:val="24"/>
          <w:rtl/>
        </w:rPr>
        <w:t>ג</w:t>
      </w:r>
      <w:r w:rsidRPr="00B8439E">
        <w:rPr>
          <w:rFonts w:ascii="Century" w:hAnsi="Century" w:cs="Miriam"/>
          <w:b/>
          <w:spacing w:val="0"/>
          <w:sz w:val="22"/>
          <w:szCs w:val="24"/>
          <w:rtl/>
        </w:rPr>
        <w:t>'</w:t>
      </w:r>
      <w:r w:rsidRPr="00B8439E">
        <w:rPr>
          <w:rFonts w:ascii="Century" w:hAnsi="Century" w:cs="Miriam" w:hint="eastAsia"/>
          <w:b/>
          <w:spacing w:val="0"/>
          <w:sz w:val="22"/>
          <w:szCs w:val="24"/>
          <w:rtl/>
        </w:rPr>
        <w:t>קלין</w:t>
      </w:r>
      <w:r w:rsidRPr="00B8439E">
        <w:rPr>
          <w:rFonts w:ascii="Century" w:hAnsi="Century" w:cs="Miriam"/>
          <w:b/>
          <w:spacing w:val="0"/>
          <w:sz w:val="22"/>
          <w:szCs w:val="24"/>
          <w:rtl/>
        </w:rPr>
        <w:t xml:space="preserve"> </w:t>
      </w:r>
      <w:r w:rsidRPr="00B8439E">
        <w:rPr>
          <w:rFonts w:ascii="Century" w:hAnsi="Century" w:cs="Miriam" w:hint="eastAsia"/>
          <w:b/>
          <w:spacing w:val="0"/>
          <w:sz w:val="22"/>
          <w:szCs w:val="24"/>
          <w:rtl/>
        </w:rPr>
        <w:t>נ</w:t>
      </w:r>
      <w:r w:rsidRPr="00B8439E">
        <w:rPr>
          <w:rFonts w:ascii="Century" w:hAnsi="Century" w:cs="Miriam"/>
          <w:b/>
          <w:spacing w:val="0"/>
          <w:sz w:val="22"/>
          <w:szCs w:val="24"/>
          <w:rtl/>
        </w:rPr>
        <w:t xml:space="preserve">' </w:t>
      </w:r>
      <w:r w:rsidRPr="00B8439E">
        <w:rPr>
          <w:rFonts w:ascii="Century" w:hAnsi="Century" w:cs="Miriam" w:hint="eastAsia"/>
          <w:b/>
          <w:spacing w:val="0"/>
          <w:sz w:val="22"/>
          <w:szCs w:val="24"/>
          <w:rtl/>
        </w:rPr>
        <w:t>משרד</w:t>
      </w:r>
      <w:r w:rsidRPr="00B8439E">
        <w:rPr>
          <w:rFonts w:ascii="Century" w:hAnsi="Century" w:cs="Miriam"/>
          <w:b/>
          <w:spacing w:val="0"/>
          <w:sz w:val="22"/>
          <w:szCs w:val="24"/>
          <w:rtl/>
        </w:rPr>
        <w:t xml:space="preserve"> </w:t>
      </w:r>
      <w:r w:rsidRPr="00B8439E">
        <w:rPr>
          <w:rFonts w:ascii="Century" w:hAnsi="Century" w:cs="Miriam" w:hint="eastAsia"/>
          <w:b/>
          <w:spacing w:val="0"/>
          <w:sz w:val="22"/>
          <w:szCs w:val="24"/>
          <w:rtl/>
        </w:rPr>
        <w:t>החינוך</w:t>
      </w:r>
      <w:r w:rsidRPr="000871DC">
        <w:rPr>
          <w:rtl/>
        </w:rPr>
        <w:t xml:space="preserve">, </w:t>
      </w:r>
      <w:r w:rsidRPr="000871DC">
        <w:rPr>
          <w:rFonts w:hint="eastAsia"/>
          <w:rtl/>
        </w:rPr>
        <w:t>פסקה</w:t>
      </w:r>
      <w:r w:rsidRPr="000871DC">
        <w:rPr>
          <w:rtl/>
        </w:rPr>
        <w:t xml:space="preserve"> 4 </w:t>
      </w:r>
      <w:r w:rsidRPr="000871DC">
        <w:rPr>
          <w:rFonts w:hint="eastAsia"/>
          <w:rtl/>
        </w:rPr>
        <w:t>לפסק</w:t>
      </w:r>
      <w:r w:rsidRPr="000871DC">
        <w:rPr>
          <w:rtl/>
        </w:rPr>
        <w:t xml:space="preserve"> </w:t>
      </w:r>
      <w:r w:rsidRPr="000871DC">
        <w:rPr>
          <w:rFonts w:hint="eastAsia"/>
          <w:rtl/>
        </w:rPr>
        <w:t>דיני</w:t>
      </w:r>
      <w:r w:rsidRPr="000871DC">
        <w:rPr>
          <w:rtl/>
        </w:rPr>
        <w:t xml:space="preserve"> (7.8.2019)).</w:t>
      </w:r>
    </w:p>
    <w:p w:rsidR="00553FDC" w:rsidRPr="00B8439E" w:rsidRDefault="00553FDC" w:rsidP="00553FDC">
      <w:pPr>
        <w:pStyle w:val="Ruller4"/>
        <w:numPr>
          <w:ilvl w:val="0"/>
          <w:numId w:val="0"/>
        </w:numPr>
      </w:pPr>
    </w:p>
    <w:p w:rsidR="00553FDC" w:rsidRDefault="00553FDC" w:rsidP="00553FDC">
      <w:pPr>
        <w:pStyle w:val="Ruller4"/>
        <w:rPr>
          <w:rFonts w:ascii="Century" w:hAnsi="Century"/>
          <w:sz w:val="22"/>
        </w:rPr>
      </w:pPr>
      <w:r>
        <w:rPr>
          <w:rFonts w:hint="cs"/>
          <w:rtl/>
        </w:rPr>
        <w:lastRenderedPageBreak/>
        <w:t xml:space="preserve">ברם, כאשר הכנסת מחוקקת חוק שמנוגד לכל אחת ואחת מתפישות השוויון הקיימות והמקובלות, יהא בכך משום הפרה של דרישת השוויון שנקבעה בהכרזת העצמאות. כך הוא, למשל, לגבי חוק היפותטי אשר מונע מנשים או מבני מיעוטים להתמנות לנושאי משרות ציבוריות בישראל. </w:t>
      </w:r>
      <w:r w:rsidRPr="009D199C">
        <w:rPr>
          <w:rFonts w:ascii="Century" w:hAnsi="Century" w:hint="cs"/>
          <w:sz w:val="22"/>
          <w:rtl/>
        </w:rPr>
        <w:t xml:space="preserve">חוק </w:t>
      </w:r>
      <w:r>
        <w:rPr>
          <w:rFonts w:ascii="Century" w:hAnsi="Century" w:hint="cs"/>
          <w:sz w:val="22"/>
          <w:rtl/>
        </w:rPr>
        <w:t>כ</w:t>
      </w:r>
      <w:r w:rsidRPr="009D199C">
        <w:rPr>
          <w:rFonts w:ascii="Century" w:hAnsi="Century" w:hint="cs"/>
          <w:sz w:val="22"/>
          <w:rtl/>
        </w:rPr>
        <w:t xml:space="preserve">זה שולל מנפגעותיו ומנפגעיו את </w:t>
      </w:r>
      <w:r>
        <w:rPr>
          <w:rFonts w:ascii="Century" w:hAnsi="Century" w:hint="cs"/>
          <w:sz w:val="22"/>
          <w:rtl/>
        </w:rPr>
        <w:t>ה</w:t>
      </w:r>
      <w:r w:rsidRPr="009D199C">
        <w:rPr>
          <w:rFonts w:ascii="Century" w:hAnsi="Century" w:hint="cs"/>
          <w:sz w:val="22"/>
          <w:rtl/>
        </w:rPr>
        <w:t>זכא</w:t>
      </w:r>
      <w:r>
        <w:rPr>
          <w:rFonts w:ascii="Century" w:hAnsi="Century" w:hint="cs"/>
          <w:sz w:val="22"/>
          <w:rtl/>
        </w:rPr>
        <w:t>ות</w:t>
      </w:r>
      <w:r w:rsidRPr="009D199C">
        <w:rPr>
          <w:rFonts w:ascii="Century" w:hAnsi="Century" w:hint="cs"/>
          <w:sz w:val="22"/>
          <w:rtl/>
        </w:rPr>
        <w:t xml:space="preserve"> לשוויון זכויות חברתי ומדיני גמור</w:t>
      </w:r>
      <w:r>
        <w:rPr>
          <w:rFonts w:ascii="Century" w:hAnsi="Century" w:hint="cs"/>
          <w:sz w:val="22"/>
          <w:rtl/>
        </w:rPr>
        <w:t xml:space="preserve">, אשר הובטחה להם </w:t>
      </w:r>
      <w:r>
        <w:rPr>
          <w:rFonts w:ascii="Century" w:hAnsi="Century"/>
          <w:sz w:val="22"/>
          <w:rtl/>
        </w:rPr>
        <w:t>–</w:t>
      </w:r>
      <w:r>
        <w:rPr>
          <w:rFonts w:ascii="Century" w:hAnsi="Century" w:hint="cs"/>
          <w:sz w:val="22"/>
          <w:rtl/>
        </w:rPr>
        <w:t xml:space="preserve"> ולכולנו </w:t>
      </w:r>
      <w:r>
        <w:rPr>
          <w:rFonts w:ascii="Century" w:hAnsi="Century"/>
          <w:sz w:val="22"/>
          <w:rtl/>
        </w:rPr>
        <w:t>–</w:t>
      </w:r>
      <w:r>
        <w:rPr>
          <w:rFonts w:ascii="Century" w:hAnsi="Century" w:hint="cs"/>
          <w:sz w:val="22"/>
          <w:rtl/>
        </w:rPr>
        <w:t xml:space="preserve"> בהכרזת העצמאות. </w:t>
      </w:r>
      <w:r>
        <w:rPr>
          <w:rFonts w:hint="cs"/>
          <w:rtl/>
        </w:rPr>
        <w:t>חקיקתו של חוק כזה תהא בגדר חריגה ברורה ומוכחת מסמכות החקיקה של הכנסת (</w:t>
      </w:r>
      <w:r w:rsidRPr="009D199C">
        <w:rPr>
          <w:rFonts w:asciiTheme="majorBidi" w:hAnsiTheme="majorBidi" w:cstheme="majorBidi"/>
          <w:szCs w:val="24"/>
        </w:rPr>
        <w:t>ultra vires</w:t>
      </w:r>
      <w:r>
        <w:rPr>
          <w:rFonts w:asciiTheme="majorBidi" w:hAnsiTheme="majorBidi" w:cstheme="majorBidi" w:hint="cs"/>
          <w:szCs w:val="24"/>
          <w:rtl/>
        </w:rPr>
        <w:t>)</w:t>
      </w:r>
      <w:r>
        <w:rPr>
          <w:rFonts w:hint="cs"/>
          <w:rtl/>
        </w:rPr>
        <w:t xml:space="preserve"> </w:t>
      </w:r>
      <w:r>
        <w:rPr>
          <w:rtl/>
        </w:rPr>
        <w:t>–</w:t>
      </w:r>
      <w:r>
        <w:rPr>
          <w:rFonts w:hint="cs"/>
          <w:rtl/>
        </w:rPr>
        <w:t xml:space="preserve"> פגם אשר גוזר על החוק בטלות מדעיקרא.</w:t>
      </w:r>
      <w:r w:rsidRPr="003E797F">
        <w:rPr>
          <w:rFonts w:ascii="Century" w:hAnsi="Century" w:hint="cs"/>
          <w:sz w:val="22"/>
          <w:rtl/>
        </w:rPr>
        <w:t xml:space="preserve"> חקיק</w:t>
      </w:r>
      <w:r>
        <w:rPr>
          <w:rFonts w:ascii="Century" w:hAnsi="Century" w:hint="cs"/>
          <w:sz w:val="22"/>
          <w:rtl/>
        </w:rPr>
        <w:t>תו של כל חוק כז</w:t>
      </w:r>
      <w:r w:rsidRPr="003E797F">
        <w:rPr>
          <w:rFonts w:ascii="Century" w:hAnsi="Century" w:hint="cs"/>
          <w:sz w:val="22"/>
          <w:rtl/>
        </w:rPr>
        <w:t xml:space="preserve">ה הופכת את הקערה על-פיה </w:t>
      </w:r>
      <w:r>
        <w:rPr>
          <w:rFonts w:ascii="Century" w:hAnsi="Century" w:hint="cs"/>
          <w:sz w:val="22"/>
          <w:rtl/>
        </w:rPr>
        <w:t xml:space="preserve">באשר היא מחוללת </w:t>
      </w:r>
      <w:r w:rsidRPr="003E797F">
        <w:rPr>
          <w:rFonts w:ascii="Century" w:hAnsi="Century" w:hint="cs"/>
          <w:sz w:val="22"/>
          <w:rtl/>
        </w:rPr>
        <w:t xml:space="preserve">שינוי </w:t>
      </w:r>
      <w:r>
        <w:rPr>
          <w:rFonts w:ascii="Century" w:hAnsi="Century" w:hint="cs"/>
          <w:sz w:val="22"/>
          <w:rtl/>
        </w:rPr>
        <w:t>ב</w:t>
      </w:r>
      <w:r w:rsidRPr="003E797F">
        <w:rPr>
          <w:rFonts w:ascii="Century" w:hAnsi="Century" w:hint="cs"/>
          <w:sz w:val="22"/>
          <w:rtl/>
        </w:rPr>
        <w:t>יסודות משפט</w:t>
      </w:r>
      <w:r>
        <w:rPr>
          <w:rFonts w:ascii="Century" w:hAnsi="Century" w:hint="cs"/>
          <w:sz w:val="22"/>
          <w:rtl/>
        </w:rPr>
        <w:t>נו</w:t>
      </w:r>
      <w:r w:rsidRPr="003E797F">
        <w:rPr>
          <w:rFonts w:ascii="Century" w:hAnsi="Century" w:hint="cs"/>
          <w:sz w:val="22"/>
          <w:rtl/>
        </w:rPr>
        <w:t xml:space="preserve"> ו</w:t>
      </w:r>
      <w:r>
        <w:rPr>
          <w:rFonts w:ascii="Century" w:hAnsi="Century" w:hint="cs"/>
          <w:sz w:val="22"/>
          <w:rtl/>
        </w:rPr>
        <w:t>ב</w:t>
      </w:r>
      <w:r w:rsidRPr="003E797F">
        <w:rPr>
          <w:rFonts w:ascii="Century" w:hAnsi="Century" w:hint="cs"/>
          <w:sz w:val="22"/>
          <w:rtl/>
        </w:rPr>
        <w:t>אופי</w:t>
      </w:r>
      <w:r>
        <w:rPr>
          <w:rFonts w:ascii="Century" w:hAnsi="Century" w:hint="cs"/>
          <w:sz w:val="22"/>
          <w:rtl/>
        </w:rPr>
        <w:t>יה</w:t>
      </w:r>
      <w:r w:rsidRPr="003E797F">
        <w:rPr>
          <w:rFonts w:ascii="Century" w:hAnsi="Century" w:hint="cs"/>
          <w:sz w:val="22"/>
          <w:rtl/>
        </w:rPr>
        <w:t xml:space="preserve"> </w:t>
      </w:r>
      <w:r>
        <w:rPr>
          <w:rFonts w:ascii="Century" w:hAnsi="Century" w:hint="cs"/>
          <w:sz w:val="22"/>
          <w:rtl/>
        </w:rPr>
        <w:t xml:space="preserve">של מדינת ישראל כמדינה שוחרת שוויון. כפועל יוצא מכך, נהיה חייבים לומר, בנוגע לחוקים כאלה, כי מקומם לא יכירנו בספרי החוקים של מדינתנו ולהורות על בטלותם </w:t>
      </w:r>
      <w:r>
        <w:rPr>
          <w:rFonts w:ascii="Century" w:hAnsi="Century"/>
          <w:sz w:val="22"/>
          <w:rtl/>
        </w:rPr>
        <w:t>–</w:t>
      </w:r>
      <w:r>
        <w:rPr>
          <w:rFonts w:ascii="Century" w:hAnsi="Century" w:hint="cs"/>
          <w:sz w:val="22"/>
          <w:rtl/>
        </w:rPr>
        <w:t xml:space="preserve"> זאת, במסגרת הביקורת השיפוטית על חוקים רגילים, אשר מתקיימת על פי העקרונות שנקבעו ב</w:t>
      </w:r>
      <w:r>
        <w:rPr>
          <w:rFonts w:hint="cs"/>
          <w:rtl/>
        </w:rPr>
        <w:t>עניין</w:t>
      </w:r>
      <w:r w:rsidRPr="000871DC">
        <w:rPr>
          <w:rFonts w:ascii="Arial" w:hAnsi="Arial" w:cs="Arial" w:hint="eastAsia"/>
          <w:color w:val="222222"/>
          <w:spacing w:val="0"/>
          <w:sz w:val="28"/>
          <w:rtl/>
        </w:rPr>
        <w:t> </w:t>
      </w:r>
      <w:r w:rsidRPr="000871DC">
        <w:rPr>
          <w:rFonts w:ascii="Miriam" w:hAnsi="Miriam" w:cs="Miriam"/>
          <w:color w:val="222222"/>
          <w:spacing w:val="0"/>
          <w:szCs w:val="24"/>
          <w:rtl/>
        </w:rPr>
        <w:t>בנק המזרחי</w:t>
      </w:r>
      <w:r>
        <w:rPr>
          <w:rFonts w:ascii="Miriam" w:hAnsi="Miriam" w:cs="Miriam" w:hint="cs"/>
          <w:color w:val="222222"/>
          <w:spacing w:val="0"/>
          <w:szCs w:val="24"/>
          <w:rtl/>
        </w:rPr>
        <w:t xml:space="preserve"> (</w:t>
      </w:r>
      <w:r>
        <w:rPr>
          <w:rFonts w:ascii="Century" w:hAnsi="Century" w:hint="cs"/>
          <w:sz w:val="22"/>
          <w:rtl/>
        </w:rPr>
        <w:t xml:space="preserve">וראו גם: סעיפים 15(ג) ו-15(ד)(2) לחוק יסוד: השפיטה). </w:t>
      </w:r>
    </w:p>
    <w:p w:rsidR="00553FDC" w:rsidRDefault="00553FDC" w:rsidP="00553FDC">
      <w:pPr>
        <w:pStyle w:val="Ruller4"/>
        <w:numPr>
          <w:ilvl w:val="0"/>
          <w:numId w:val="0"/>
        </w:numPr>
        <w:rPr>
          <w:rFonts w:ascii="Century" w:hAnsi="Century"/>
          <w:sz w:val="22"/>
        </w:rPr>
      </w:pPr>
    </w:p>
    <w:p w:rsidR="00553FDC" w:rsidRDefault="00553FDC" w:rsidP="00553FDC">
      <w:pPr>
        <w:pStyle w:val="Ruller4"/>
        <w:rPr>
          <w:rFonts w:ascii="Century" w:hAnsi="Century"/>
          <w:sz w:val="22"/>
          <w:rtl/>
        </w:rPr>
      </w:pPr>
      <w:r>
        <w:rPr>
          <w:rFonts w:ascii="Century" w:hAnsi="Century" w:hint="cs"/>
          <w:sz w:val="22"/>
          <w:rtl/>
        </w:rPr>
        <w:t>כאן המקום לעבור לדיון בחקיקה פרסונלית ובהתנגשות שבינה לבין עיקרון השוויון הגמור, הקבוע בהכרזת העצמאות.</w:t>
      </w:r>
    </w:p>
    <w:p w:rsidR="00553FDC" w:rsidRDefault="00553FDC" w:rsidP="00553FDC">
      <w:pPr>
        <w:pStyle w:val="Ruller41"/>
        <w:rPr>
          <w:rtl/>
        </w:rPr>
      </w:pPr>
    </w:p>
    <w:p w:rsidR="00553FDC" w:rsidRPr="00F43CAD" w:rsidRDefault="00553FDC" w:rsidP="00553FDC">
      <w:pPr>
        <w:pStyle w:val="Ruller41"/>
        <w:rPr>
          <w:rFonts w:ascii="Century" w:hAnsi="Century" w:cs="Miriam"/>
          <w:b/>
          <w:spacing w:val="0"/>
          <w:szCs w:val="24"/>
        </w:rPr>
      </w:pPr>
      <w:r w:rsidRPr="00F43CAD">
        <w:rPr>
          <w:rFonts w:ascii="Century" w:hAnsi="Century" w:cs="Miriam" w:hint="cs"/>
          <w:b/>
          <w:spacing w:val="0"/>
          <w:szCs w:val="24"/>
          <w:rtl/>
        </w:rPr>
        <w:t>חקיקה פרסונלית ועיקרון השוויון</w:t>
      </w:r>
      <w:r>
        <w:rPr>
          <w:rFonts w:ascii="Century" w:hAnsi="Century" w:cs="Miriam" w:hint="cs"/>
          <w:b/>
          <w:spacing w:val="0"/>
          <w:szCs w:val="24"/>
          <w:rtl/>
        </w:rPr>
        <w:t xml:space="preserve"> הגמור</w:t>
      </w:r>
    </w:p>
    <w:p w:rsidR="00553FDC" w:rsidRPr="00837C2E" w:rsidRDefault="00553FDC" w:rsidP="00553FDC">
      <w:pPr>
        <w:pStyle w:val="Ruller41"/>
      </w:pPr>
    </w:p>
    <w:p w:rsidR="00553FDC" w:rsidRPr="00DB2F9C" w:rsidRDefault="00553FDC" w:rsidP="00553FDC">
      <w:pPr>
        <w:pStyle w:val="Ruller4"/>
        <w:rPr>
          <w:rtl/>
        </w:rPr>
      </w:pPr>
      <w:r>
        <w:rPr>
          <w:rFonts w:hint="cs"/>
          <w:rtl/>
        </w:rPr>
        <w:t xml:space="preserve">חקיקה פרסונלית באה בשתי צורות שניתן לתארן כ"קח", מצד אחד, וכ"תן" מהצד השני. חוק פרסונלי יכול להקנות יתרון כלשהו לאדם או לגוף מסויים שהמחוקק חפץ ביקרו ורוצה להטיב עמו. חוק שקובע כי עובד ציבור פלוני </w:t>
      </w:r>
      <w:r>
        <w:rPr>
          <w:rtl/>
        </w:rPr>
        <w:t>–</w:t>
      </w:r>
      <w:r>
        <w:rPr>
          <w:rFonts w:hint="cs"/>
          <w:rtl/>
        </w:rPr>
        <w:t xml:space="preserve"> ראובן </w:t>
      </w:r>
      <w:r>
        <w:rPr>
          <w:rtl/>
        </w:rPr>
        <w:t>–</w:t>
      </w:r>
      <w:r>
        <w:rPr>
          <w:rFonts w:hint="cs"/>
          <w:rtl/>
        </w:rPr>
        <w:t xml:space="preserve"> יהא זכאי לפנסיה תקציבית, חרף הוראת חיקוק כללית אשר מזכה את שאר העובדים במצבו בפנסיה צוברת, ותו לא, הוא בגדר חקיקה פרסונלית אשר פועלת במתכונת של "תן". חוקים שפועלים במתכונת זו הם נושא דיוננו. כפי שאראה להלן, כל חוק כזה מפלה לטובה את יקירו של המחוקק </w:t>
      </w:r>
      <w:r>
        <w:rPr>
          <w:rtl/>
        </w:rPr>
        <w:t>–</w:t>
      </w:r>
      <w:r>
        <w:rPr>
          <w:rFonts w:hint="cs"/>
          <w:rtl/>
        </w:rPr>
        <w:t xml:space="preserve"> ראובן בדוגמא שלעיל </w:t>
      </w:r>
      <w:r>
        <w:rPr>
          <w:rtl/>
        </w:rPr>
        <w:t>–</w:t>
      </w:r>
      <w:r>
        <w:rPr>
          <w:rFonts w:hint="cs"/>
          <w:rtl/>
        </w:rPr>
        <w:t xml:space="preserve"> ובעשותו כן מפר את עיקרון השוויון הגמור שבהכרזת העצמאות. מאידך, חוק אשר מטיל קנס או עונש אחר על אדם ספציפי </w:t>
      </w:r>
      <w:r>
        <w:rPr>
          <w:rtl/>
        </w:rPr>
        <w:t>–</w:t>
      </w:r>
      <w:r>
        <w:rPr>
          <w:rFonts w:hint="cs"/>
          <w:rtl/>
        </w:rPr>
        <w:t xml:space="preserve"> שמעון </w:t>
      </w:r>
      <w:r>
        <w:rPr>
          <w:rtl/>
        </w:rPr>
        <w:t>–</w:t>
      </w:r>
      <w:r>
        <w:rPr>
          <w:rFonts w:hint="cs"/>
          <w:rtl/>
        </w:rPr>
        <w:t xml:space="preserve"> חוק הידוע לשמצה כ-</w:t>
      </w:r>
      <w:r w:rsidRPr="00D73656">
        <w:rPr>
          <w:rFonts w:asciiTheme="majorBidi" w:hAnsiTheme="majorBidi" w:cstheme="majorBidi"/>
        </w:rPr>
        <w:t>Bill of Attainder</w:t>
      </w:r>
      <w:r>
        <w:rPr>
          <w:rFonts w:hint="cs"/>
          <w:rtl/>
        </w:rPr>
        <w:t xml:space="preserve">, הוא בגדר חקיקה פרסונלית אשר פועלת במתכונת של "קח". ברי הוא, כי כל חוק כזה מפלה לרעה את האדם שנרדף באופן אישי על ידי המחוקק </w:t>
      </w:r>
      <w:r>
        <w:rPr>
          <w:rtl/>
        </w:rPr>
        <w:t>–</w:t>
      </w:r>
      <w:r>
        <w:rPr>
          <w:rFonts w:hint="cs"/>
          <w:rtl/>
        </w:rPr>
        <w:t xml:space="preserve"> שמעון בדוגמא שלעיל </w:t>
      </w:r>
      <w:r>
        <w:rPr>
          <w:rtl/>
        </w:rPr>
        <w:t>–</w:t>
      </w:r>
      <w:r>
        <w:rPr>
          <w:rFonts w:hint="cs"/>
          <w:rtl/>
        </w:rPr>
        <w:t xml:space="preserve"> וסופג את עונשיו, בהשוואה לשאר האוכלוסייה. חוק כזה, </w:t>
      </w:r>
      <w:r>
        <w:rPr>
          <w:rFonts w:ascii="Century" w:hAnsi="Century" w:hint="cs"/>
          <w:sz w:val="22"/>
          <w:rtl/>
        </w:rPr>
        <w:t>אף הוא מפר</w:t>
      </w:r>
      <w:r w:rsidRPr="00D73656">
        <w:rPr>
          <w:rFonts w:ascii="Century" w:hAnsi="Century" w:hint="cs"/>
          <w:sz w:val="22"/>
          <w:rtl/>
        </w:rPr>
        <w:t xml:space="preserve"> את דרישת השוויון שבהכרזת העצמאות. בנוסף לכך, </w:t>
      </w:r>
      <w:r>
        <w:rPr>
          <w:rFonts w:ascii="Century" w:hAnsi="Century" w:hint="cs"/>
          <w:sz w:val="22"/>
          <w:rtl/>
        </w:rPr>
        <w:t xml:space="preserve">כל </w:t>
      </w:r>
      <w:r>
        <w:rPr>
          <w:rFonts w:hint="cs"/>
          <w:rtl/>
        </w:rPr>
        <w:t xml:space="preserve">חוק כזה </w:t>
      </w:r>
      <w:r>
        <w:rPr>
          <w:rFonts w:ascii="Century" w:hAnsi="Century" w:hint="cs"/>
          <w:sz w:val="22"/>
          <w:rtl/>
        </w:rPr>
        <w:t>מפר</w:t>
      </w:r>
      <w:r w:rsidRPr="00301EE8">
        <w:rPr>
          <w:rFonts w:ascii="Century" w:hAnsi="Century" w:hint="cs"/>
          <w:sz w:val="22"/>
          <w:rtl/>
        </w:rPr>
        <w:t xml:space="preserve"> את ה</w:t>
      </w:r>
      <w:r>
        <w:rPr>
          <w:rFonts w:hint="cs"/>
          <w:rtl/>
        </w:rPr>
        <w:t xml:space="preserve">עיקרון של הפרדת הרשויות, כל אימת שמדובר בניכוס סמכויות השפיטה על ידי המחוקק. מטעמים אלה, חקיקה שמגיעה כדי </w:t>
      </w:r>
      <w:r w:rsidRPr="00301EE8">
        <w:rPr>
          <w:rFonts w:asciiTheme="majorBidi" w:hAnsiTheme="majorBidi" w:cstheme="majorBidi"/>
        </w:rPr>
        <w:t>Bill of Attainder</w:t>
      </w:r>
      <w:r>
        <w:rPr>
          <w:rFonts w:hint="cs"/>
          <w:rtl/>
        </w:rPr>
        <w:t xml:space="preserve"> </w:t>
      </w:r>
      <w:r>
        <w:rPr>
          <w:rFonts w:hint="cs"/>
          <w:rtl/>
        </w:rPr>
        <w:lastRenderedPageBreak/>
        <w:t xml:space="preserve">נאסרה על ידי חוקת ארצות-הברית (ראו: </w:t>
      </w:r>
      <w:r w:rsidRPr="00301EE8">
        <w:rPr>
          <w:rFonts w:asciiTheme="majorBidi" w:hAnsiTheme="majorBidi" w:cstheme="majorBidi"/>
          <w:szCs w:val="24"/>
        </w:rPr>
        <w:t>U.S. Const., Article I, Section 9, Clause 3: "No Bill of Attainder […] shall be passed"</w:t>
      </w:r>
      <w:r>
        <w:rPr>
          <w:rFonts w:hint="cs"/>
          <w:rtl/>
        </w:rPr>
        <w:t xml:space="preserve">). </w:t>
      </w:r>
    </w:p>
    <w:p w:rsidR="00553FDC" w:rsidRPr="00DB2F9C" w:rsidRDefault="00553FDC" w:rsidP="00553FDC">
      <w:pPr>
        <w:pStyle w:val="Ruller41"/>
      </w:pPr>
    </w:p>
    <w:p w:rsidR="00553FDC" w:rsidRDefault="00553FDC" w:rsidP="00553FDC">
      <w:pPr>
        <w:pStyle w:val="Ruller4"/>
      </w:pPr>
      <w:r>
        <w:rPr>
          <w:rFonts w:hint="cs"/>
          <w:rtl/>
        </w:rPr>
        <w:t xml:space="preserve">חקיקה פרסונלית היא מעשה שלטוני נפסד מהרבה בחינות (ראו: </w:t>
      </w:r>
      <w:r w:rsidRPr="008B0A00">
        <w:rPr>
          <w:rFonts w:asciiTheme="majorBidi" w:hAnsiTheme="majorBidi" w:cstheme="majorBidi"/>
        </w:rPr>
        <w:t xml:space="preserve">Evan C. Zoldan, </w:t>
      </w:r>
      <w:r w:rsidRPr="008B0A00">
        <w:rPr>
          <w:rFonts w:asciiTheme="majorBidi" w:hAnsiTheme="majorBidi" w:cstheme="majorBidi"/>
          <w:i/>
          <w:iCs/>
        </w:rPr>
        <w:t>Legislative Design and the Controllable Costs of Special Legislation</w:t>
      </w:r>
      <w:r w:rsidRPr="008B0A00">
        <w:rPr>
          <w:rFonts w:asciiTheme="majorBidi" w:hAnsiTheme="majorBidi" w:cstheme="majorBidi"/>
        </w:rPr>
        <w:t xml:space="preserve">, 78 </w:t>
      </w:r>
      <w:r w:rsidRPr="008B0A00">
        <w:rPr>
          <w:rFonts w:asciiTheme="majorBidi" w:hAnsiTheme="majorBidi" w:cstheme="majorBidi"/>
          <w:smallCaps/>
        </w:rPr>
        <w:t>Md. L. Rev.</w:t>
      </w:r>
      <w:r w:rsidRPr="008B0A00">
        <w:rPr>
          <w:rFonts w:asciiTheme="majorBidi" w:hAnsiTheme="majorBidi" w:cstheme="majorBidi"/>
        </w:rPr>
        <w:t xml:space="preserve"> 415</w:t>
      </w:r>
      <w:r>
        <w:rPr>
          <w:rFonts w:asciiTheme="majorBidi" w:hAnsiTheme="majorBidi" w:cstheme="majorBidi"/>
        </w:rPr>
        <w:t>, 426-443</w:t>
      </w:r>
      <w:r w:rsidRPr="008B0A00">
        <w:rPr>
          <w:rFonts w:asciiTheme="majorBidi" w:hAnsiTheme="majorBidi" w:cstheme="majorBidi"/>
        </w:rPr>
        <w:t xml:space="preserve"> (2019)</w:t>
      </w:r>
      <w:r>
        <w:rPr>
          <w:rFonts w:hint="cs"/>
          <w:rtl/>
        </w:rPr>
        <w:t xml:space="preserve">). פגמיה העיקריים של חקיקה פרסונלית הם פגיעה בעיקרון השוויון ופתיחת פתח רחב לשחיתות שלטונית (ראו: שם, בעמ' 431-427; 438-436). למשל, מדינת מרילנד שבארצות-הברית, ועמה כמה מדינות נוספות, חוקקו חוק שיצר חריג לדיני הגנת הצרכן אשר מחייבים את יצרניהם של כלי רכב למכרם לצרכנים באמצעות סוכנויות מורשות הכפופות לאסדרה מקיפה שמגנה על רוכשי הרכבים. החוק שחוקק קבע כי יצרן אשר מייצר מכוניות הממונעות באמצעות חשמל בלבד, ורק מכוניות כאלה, רשאי למכרן ישירות לצרכנים. חוק זה הוא חוק פרסונלי מאחר שבזמן חקיקתו רק יצרן אחד של מכוניות </w:t>
      </w:r>
      <w:r>
        <w:rPr>
          <w:rtl/>
        </w:rPr>
        <w:t>–</w:t>
      </w:r>
      <w:r>
        <w:rPr>
          <w:rFonts w:hint="cs"/>
          <w:rtl/>
        </w:rPr>
        <w:t xml:space="preserve"> חברת </w:t>
      </w:r>
      <w:r w:rsidRPr="00301EE8">
        <w:rPr>
          <w:rFonts w:asciiTheme="majorBidi" w:hAnsiTheme="majorBidi" w:cstheme="majorBidi"/>
        </w:rPr>
        <w:t>Tesla</w:t>
      </w:r>
      <w:r>
        <w:rPr>
          <w:rFonts w:hint="cs"/>
          <w:rtl/>
        </w:rPr>
        <w:t xml:space="preserve"> </w:t>
      </w:r>
      <w:r>
        <w:rPr>
          <w:rtl/>
        </w:rPr>
        <w:t>–</w:t>
      </w:r>
      <w:r>
        <w:rPr>
          <w:rFonts w:hint="cs"/>
          <w:rtl/>
        </w:rPr>
        <w:t xml:space="preserve"> ענה לדרישות שאפשרו מכירה ישירה לצרכנים. מסיבה זו, החוק גרר אחריו ביקורת ציבורית ואקדמית נוקבת, ותקפותו מוטלת בספק (ראו: </w:t>
      </w:r>
      <w:r w:rsidRPr="00126DC0">
        <w:rPr>
          <w:rFonts w:ascii="Century" w:hAnsi="Century" w:cs="Miriam" w:hint="eastAsia"/>
          <w:b/>
          <w:spacing w:val="0"/>
          <w:sz w:val="22"/>
          <w:szCs w:val="24"/>
          <w:rtl/>
        </w:rPr>
        <w:t>שם</w:t>
      </w:r>
      <w:r>
        <w:rPr>
          <w:rFonts w:hint="cs"/>
          <w:rtl/>
        </w:rPr>
        <w:t xml:space="preserve">, 416-415). </w:t>
      </w:r>
    </w:p>
    <w:p w:rsidR="00553FDC" w:rsidRDefault="00553FDC" w:rsidP="00553FDC">
      <w:pPr>
        <w:pStyle w:val="Ruller4"/>
        <w:numPr>
          <w:ilvl w:val="0"/>
          <w:numId w:val="0"/>
        </w:numPr>
      </w:pPr>
    </w:p>
    <w:p w:rsidR="00553FDC" w:rsidRDefault="00553FDC" w:rsidP="00553FDC">
      <w:pPr>
        <w:pStyle w:val="Ruller4"/>
      </w:pPr>
      <w:r>
        <w:rPr>
          <w:rFonts w:hint="cs"/>
          <w:rtl/>
        </w:rPr>
        <w:t xml:space="preserve">דוגמא זו שופכת אור על נקודה נוספת, החשובה לענייננו-שלנו: חוק פרסונלי שפועל במתכונת "קח" אינו חייב לזהות את מוטבו </w:t>
      </w:r>
      <w:r>
        <w:rPr>
          <w:rtl/>
        </w:rPr>
        <w:t>–</w:t>
      </w:r>
      <w:r>
        <w:rPr>
          <w:rFonts w:hint="cs"/>
          <w:rtl/>
        </w:rPr>
        <w:t xml:space="preserve"> יקירו של המחוקק </w:t>
      </w:r>
      <w:r>
        <w:rPr>
          <w:rtl/>
        </w:rPr>
        <w:t>–</w:t>
      </w:r>
      <w:r>
        <w:rPr>
          <w:rFonts w:hint="cs"/>
          <w:rtl/>
        </w:rPr>
        <w:t xml:space="preserve"> במפורש. חוק יכול להיות מסווג כפרסונלי על בסיס תוכנו והמניע שמאחוריו גם כאשר הוא אינו נוקב בשם מוטבו.</w:t>
      </w:r>
    </w:p>
    <w:p w:rsidR="00553FDC" w:rsidRDefault="00553FDC" w:rsidP="00553FDC">
      <w:pPr>
        <w:pStyle w:val="Ruller4"/>
        <w:numPr>
          <w:ilvl w:val="0"/>
          <w:numId w:val="0"/>
        </w:numPr>
      </w:pPr>
    </w:p>
    <w:p w:rsidR="00553FDC" w:rsidRDefault="00553FDC" w:rsidP="00553FDC">
      <w:pPr>
        <w:pStyle w:val="Ruller4"/>
        <w:rPr>
          <w:rtl/>
        </w:rPr>
      </w:pPr>
      <w:r>
        <w:rPr>
          <w:rFonts w:hint="cs"/>
          <w:rtl/>
        </w:rPr>
        <w:t xml:space="preserve">חוק פרסונלי פוגע בשוויון מסיבה פשוטה: הוא מיטיב או, לחלופין, מרע את מצבו של אדם מסויים, או תאגיד מסויים, שסומן לשם כך. חוק כזה אינו עולה בקנה אחד עם עיקרון השוויון הגמור אשר נקבע בהכרזת העצמאות. חקיקתם של חוקים פרסונליים אינה כלולה אפוא בסמכות החקיקה של הכנסת. </w:t>
      </w:r>
      <w:r>
        <w:rPr>
          <w:rFonts w:ascii="Century" w:hAnsi="Century" w:cs="Miriam" w:hint="cs"/>
          <w:b/>
          <w:spacing w:val="0"/>
          <w:sz w:val="22"/>
          <w:szCs w:val="24"/>
          <w:rtl/>
        </w:rPr>
        <w:t>ה</w:t>
      </w:r>
      <w:r w:rsidRPr="001264F6">
        <w:rPr>
          <w:rFonts w:ascii="Century" w:hAnsi="Century" w:cs="Miriam" w:hint="cs"/>
          <w:b/>
          <w:spacing w:val="0"/>
          <w:sz w:val="22"/>
          <w:szCs w:val="24"/>
          <w:rtl/>
        </w:rPr>
        <w:t>כנסת אינה מוסמכת לחוקק חוקים פרסונליים</w:t>
      </w:r>
      <w:r>
        <w:rPr>
          <w:rFonts w:ascii="Century" w:hAnsi="Century" w:cs="Miriam" w:hint="cs"/>
          <w:b/>
          <w:spacing w:val="0"/>
          <w:sz w:val="22"/>
          <w:szCs w:val="24"/>
          <w:rtl/>
        </w:rPr>
        <w:t>,</w:t>
      </w:r>
      <w:r w:rsidRPr="001264F6">
        <w:rPr>
          <w:rFonts w:ascii="Century" w:hAnsi="Century" w:cs="Miriam" w:hint="cs"/>
          <w:b/>
          <w:spacing w:val="0"/>
          <w:sz w:val="22"/>
          <w:szCs w:val="24"/>
          <w:rtl/>
        </w:rPr>
        <w:t xml:space="preserve"> ועל כן חוקים כאלה אינם תקפים</w:t>
      </w:r>
      <w:r>
        <w:rPr>
          <w:rFonts w:hint="cs"/>
          <w:rtl/>
        </w:rPr>
        <w:t>.</w:t>
      </w:r>
    </w:p>
    <w:p w:rsidR="00553FDC" w:rsidRPr="00553FDC" w:rsidRDefault="00553FDC" w:rsidP="00553FDC">
      <w:pPr>
        <w:pStyle w:val="Ruller41"/>
      </w:pPr>
    </w:p>
    <w:p w:rsidR="00553FDC" w:rsidRDefault="00553FDC" w:rsidP="00553FDC">
      <w:pPr>
        <w:pStyle w:val="Ruller4"/>
        <w:rPr>
          <w:rtl/>
        </w:rPr>
      </w:pPr>
      <w:r>
        <w:rPr>
          <w:rFonts w:hint="cs"/>
          <w:rtl/>
        </w:rPr>
        <w:t xml:space="preserve">חוק פרסונלי שפועל במתכונת "קח" פותח פתח רחב למעשים של שחיתות שלטונית. ניסיון החיים מלמד שעל-פי רוב אין "קח" בלי "תן"; ומכאן החשש למתן שוחד ולקבלתו על ידי חברי מוסד המחוקק, ל"שלח לחמך על פני המים", או לסטייה אחרת מכללי טוהר-המידות אשר מחייבים את השלטון. חוק פרסונלי גם מסב פגיעה אנושה למראית פני הצדק או, ביתר דיוק, למראית פני היושר אצל המוסד המחוקק ואצל מוטבו של החוק כאחד. זאת, מאחר שאין כל דרך מעשית לנקות חוק כזה מהחשד </w:t>
      </w:r>
      <w:r>
        <w:rPr>
          <w:rFonts w:hint="cs"/>
          <w:rtl/>
        </w:rPr>
        <w:lastRenderedPageBreak/>
        <w:t xml:space="preserve">שמשמעו האמיתי </w:t>
      </w:r>
      <w:r>
        <w:rPr>
          <w:rtl/>
        </w:rPr>
        <w:t>–</w:t>
      </w:r>
      <w:r>
        <w:rPr>
          <w:rFonts w:hint="cs"/>
          <w:rtl/>
        </w:rPr>
        <w:t xml:space="preserve"> בכל הקשור לזהות מוטבו ולסיבה שמאחורי הזכאות המיוחדת שהוקנתה לו </w:t>
      </w:r>
      <w:r>
        <w:rPr>
          <w:rtl/>
        </w:rPr>
        <w:t>–</w:t>
      </w:r>
      <w:r>
        <w:rPr>
          <w:rFonts w:hint="cs"/>
          <w:rtl/>
        </w:rPr>
        <w:t xml:space="preserve"> הוא "הנ"ל מאנ"ש", כלשונו של פתק השחיתות הידוע לשמצה. במילים אחרות: גם כאשר ניתן להצדיק את חקיקתו של חוק פרסונלי, לא ניתן יהיה לנקותו מהחשד כי מוטבו זכה לקבל את ההטבה החקוקה בזכות היותו איש שלומה של המפלגה או של הקואליציה אשר אוחזת בהגה השלטון.</w:t>
      </w:r>
    </w:p>
    <w:p w:rsidR="00553FDC" w:rsidRPr="00DB623E" w:rsidRDefault="00553FDC" w:rsidP="00553FDC">
      <w:pPr>
        <w:pStyle w:val="Ruller41"/>
      </w:pPr>
    </w:p>
    <w:p w:rsidR="00553FDC" w:rsidRDefault="00553FDC" w:rsidP="00553FDC">
      <w:pPr>
        <w:pStyle w:val="Ruller4"/>
      </w:pPr>
      <w:r>
        <w:rPr>
          <w:rFonts w:hint="cs"/>
          <w:rtl/>
        </w:rPr>
        <w:t xml:space="preserve">לא זו אף זו. ספק בעיניי אם חוק פרסונלי שמעיקרו לא נועד לחול על ציבור בלתי-מסויים, אלא על אדם אחד בלבד </w:t>
      </w:r>
      <w:r>
        <w:rPr>
          <w:rtl/>
        </w:rPr>
        <w:t>–</w:t>
      </w:r>
      <w:r>
        <w:rPr>
          <w:rFonts w:hint="cs"/>
          <w:rtl/>
        </w:rPr>
        <w:t xml:space="preserve"> אשר סומן על ידי המחוקק לטובה או לרעה, כיקירו או כקורבנו </w:t>
      </w:r>
      <w:r>
        <w:rPr>
          <w:rtl/>
        </w:rPr>
        <w:t>–</w:t>
      </w:r>
      <w:r>
        <w:rPr>
          <w:rFonts w:hint="cs"/>
          <w:rtl/>
        </w:rPr>
        <w:t xml:space="preserve"> הוא בגדר "חוק" בהיבט המושגי הבסיסי. הפילוסוף ג'ון לוק טען באופן משכנע כי חוק המדינה חייב להיות כללי, אחיד ויציב מעצם טבעו והגדרתו כ"חוק"; ועל כן "חוק פרסונלי" הוא בגדר תרתי דסתרי:</w:t>
      </w:r>
    </w:p>
    <w:p w:rsidR="00553FDC" w:rsidRDefault="00553FDC" w:rsidP="00553FDC">
      <w:pPr>
        <w:pStyle w:val="Ruller4"/>
        <w:numPr>
          <w:ilvl w:val="0"/>
          <w:numId w:val="0"/>
        </w:numPr>
      </w:pPr>
      <w:r>
        <w:rPr>
          <w:rFonts w:hint="cs"/>
          <w:rtl/>
        </w:rPr>
        <w:t xml:space="preserve">  </w:t>
      </w:r>
    </w:p>
    <w:p w:rsidR="00553FDC" w:rsidRPr="00257A8C" w:rsidRDefault="00553FDC" w:rsidP="00553FDC">
      <w:pPr>
        <w:pStyle w:val="Ruller5"/>
        <w:bidi w:val="0"/>
        <w:rPr>
          <w:rFonts w:asciiTheme="majorBidi" w:hAnsiTheme="majorBidi" w:cstheme="majorBidi"/>
          <w:sz w:val="24"/>
          <w:szCs w:val="24"/>
        </w:rPr>
      </w:pPr>
      <w:r w:rsidRPr="00257A8C">
        <w:rPr>
          <w:rFonts w:asciiTheme="majorBidi" w:hAnsiTheme="majorBidi" w:cstheme="majorBidi"/>
          <w:sz w:val="24"/>
          <w:szCs w:val="24"/>
        </w:rPr>
        <w:t>"The legislative, or supreme authority, cannot assume to its self a power to rule by extemporary arbitrary decrees, but is bound to dispense justice, and decide the rights of the subject by promulgated standing laws… […] They are to govern by promulgated established laws, not to be varied in particular cases, but to have one rule for rich and poor, for the favourite at court, and the country man at plough."</w:t>
      </w:r>
    </w:p>
    <w:p w:rsidR="00553FDC" w:rsidRPr="00257A8C" w:rsidRDefault="00553FDC" w:rsidP="00553FDC">
      <w:pPr>
        <w:pStyle w:val="Ruller5"/>
        <w:bidi w:val="0"/>
        <w:rPr>
          <w:rFonts w:asciiTheme="majorBidi" w:hAnsiTheme="majorBidi" w:cstheme="majorBidi"/>
          <w:sz w:val="24"/>
          <w:szCs w:val="24"/>
        </w:rPr>
      </w:pPr>
    </w:p>
    <w:p w:rsidR="00553FDC" w:rsidRPr="00257A8C" w:rsidRDefault="00553FDC" w:rsidP="00553FDC">
      <w:pPr>
        <w:pStyle w:val="Ruller5"/>
        <w:bidi w:val="0"/>
        <w:rPr>
          <w:rFonts w:asciiTheme="majorBidi" w:hAnsiTheme="majorBidi" w:cstheme="majorBidi"/>
          <w:sz w:val="24"/>
          <w:szCs w:val="24"/>
        </w:rPr>
      </w:pPr>
      <w:r w:rsidRPr="00257A8C">
        <w:rPr>
          <w:rFonts w:asciiTheme="majorBidi" w:hAnsiTheme="majorBidi" w:cstheme="majorBidi"/>
          <w:smallCaps/>
          <w:sz w:val="24"/>
          <w:szCs w:val="24"/>
        </w:rPr>
        <w:t>John Locke, Second Treatise of Government</w:t>
      </w:r>
      <w:r w:rsidRPr="00257A8C">
        <w:rPr>
          <w:rFonts w:asciiTheme="majorBidi" w:hAnsiTheme="majorBidi" w:cstheme="majorBidi"/>
          <w:sz w:val="24"/>
          <w:szCs w:val="24"/>
        </w:rPr>
        <w:t xml:space="preserve"> §§ 136, 142 (1690).</w:t>
      </w:r>
    </w:p>
    <w:p w:rsidR="00553FDC" w:rsidRPr="00257A8C" w:rsidRDefault="00553FDC" w:rsidP="00553FDC">
      <w:pPr>
        <w:pStyle w:val="Ruller5"/>
        <w:bidi w:val="0"/>
        <w:rPr>
          <w:rFonts w:asciiTheme="majorBidi" w:hAnsiTheme="majorBidi" w:cstheme="majorBidi"/>
          <w:sz w:val="24"/>
          <w:szCs w:val="24"/>
        </w:rPr>
      </w:pPr>
    </w:p>
    <w:p w:rsidR="00553FDC" w:rsidRDefault="00553FDC" w:rsidP="00553FDC">
      <w:pPr>
        <w:pStyle w:val="Ruller41"/>
        <w:rPr>
          <w:rtl/>
        </w:rPr>
      </w:pPr>
      <w:r>
        <w:rPr>
          <w:rFonts w:ascii="Century" w:hAnsi="Century" w:hint="cs"/>
          <w:rtl/>
        </w:rPr>
        <w:t xml:space="preserve">רעיון זהה מופיע אצל ויליאם בלקסטון: </w:t>
      </w:r>
    </w:p>
    <w:p w:rsidR="00553FDC" w:rsidRDefault="00553FDC" w:rsidP="00553FDC">
      <w:pPr>
        <w:pStyle w:val="Ruller41"/>
      </w:pPr>
    </w:p>
    <w:p w:rsidR="00553FDC" w:rsidRDefault="00553FDC" w:rsidP="00553FDC">
      <w:pPr>
        <w:pStyle w:val="Ruller5"/>
        <w:bidi w:val="0"/>
        <w:rPr>
          <w:rFonts w:asciiTheme="majorBidi" w:hAnsiTheme="majorBidi" w:cstheme="majorBidi"/>
          <w:sz w:val="24"/>
          <w:szCs w:val="32"/>
        </w:rPr>
      </w:pPr>
      <w:r w:rsidRPr="002C366D">
        <w:rPr>
          <w:rFonts w:asciiTheme="majorBidi" w:hAnsiTheme="majorBidi" w:cstheme="majorBidi"/>
          <w:sz w:val="24"/>
          <w:szCs w:val="32"/>
        </w:rPr>
        <w:t xml:space="preserve">"And, first, it is a rule: not a transient sudden order from a superior, to or concerning a particular person; but something </w:t>
      </w:r>
      <w:r w:rsidRPr="002C366D">
        <w:rPr>
          <w:rFonts w:asciiTheme="majorBidi" w:hAnsiTheme="majorBidi" w:cstheme="majorBidi"/>
          <w:i/>
          <w:iCs/>
          <w:sz w:val="24"/>
          <w:szCs w:val="32"/>
        </w:rPr>
        <w:t>permanent, uniform, and universal</w:t>
      </w:r>
      <w:r w:rsidRPr="002C366D">
        <w:rPr>
          <w:rFonts w:asciiTheme="majorBidi" w:hAnsiTheme="majorBidi" w:cstheme="majorBidi"/>
          <w:sz w:val="24"/>
          <w:szCs w:val="32"/>
        </w:rPr>
        <w:t>. Therefore, a particular act of the legislature to confiscate the goods of Titius, or to attaint him of high treason, does not enter into the idea of a municipal law: for the operation of this act is spent upon Titius only, and has no relation to the community in general; it is rather a sentence than a law."</w:t>
      </w:r>
    </w:p>
    <w:p w:rsidR="00553FDC" w:rsidRDefault="00553FDC" w:rsidP="00553FDC">
      <w:pPr>
        <w:pStyle w:val="Ruller5"/>
        <w:bidi w:val="0"/>
        <w:rPr>
          <w:rFonts w:asciiTheme="majorBidi" w:hAnsiTheme="majorBidi" w:cstheme="majorBidi"/>
          <w:sz w:val="24"/>
          <w:szCs w:val="32"/>
        </w:rPr>
      </w:pPr>
    </w:p>
    <w:p w:rsidR="00553FDC" w:rsidRDefault="00553FDC" w:rsidP="00553FDC">
      <w:pPr>
        <w:pStyle w:val="Ruller5"/>
        <w:bidi w:val="0"/>
        <w:rPr>
          <w:rFonts w:asciiTheme="majorBidi" w:hAnsiTheme="majorBidi" w:cstheme="majorBidi"/>
          <w:sz w:val="24"/>
          <w:szCs w:val="32"/>
        </w:rPr>
      </w:pPr>
      <w:r w:rsidRPr="008557C2">
        <w:rPr>
          <w:rFonts w:asciiTheme="majorBidi" w:hAnsiTheme="majorBidi" w:cstheme="majorBidi"/>
          <w:smallCaps/>
          <w:sz w:val="24"/>
          <w:szCs w:val="32"/>
        </w:rPr>
        <w:t>William Blackstone, Commentaries on the Laws of England</w:t>
      </w:r>
      <w:r>
        <w:rPr>
          <w:rFonts w:asciiTheme="majorBidi" w:hAnsiTheme="majorBidi" w:cstheme="majorBidi"/>
          <w:sz w:val="24"/>
          <w:szCs w:val="32"/>
        </w:rPr>
        <w:t>, Section II "</w:t>
      </w:r>
      <w:r w:rsidRPr="002C366D">
        <w:rPr>
          <w:rFonts w:asciiTheme="majorBidi" w:hAnsiTheme="majorBidi" w:cstheme="majorBidi"/>
          <w:sz w:val="24"/>
          <w:szCs w:val="32"/>
        </w:rPr>
        <w:t>Of the Nature of Laws in General</w:t>
      </w:r>
      <w:r>
        <w:rPr>
          <w:rFonts w:asciiTheme="majorBidi" w:hAnsiTheme="majorBidi" w:cstheme="majorBidi"/>
          <w:sz w:val="24"/>
          <w:szCs w:val="32"/>
        </w:rPr>
        <w:t>" (1753).</w:t>
      </w:r>
    </w:p>
    <w:p w:rsidR="00553FDC" w:rsidRDefault="00553FDC" w:rsidP="00553FDC">
      <w:pPr>
        <w:pStyle w:val="Ruller5"/>
        <w:bidi w:val="0"/>
        <w:rPr>
          <w:rFonts w:asciiTheme="majorBidi" w:hAnsiTheme="majorBidi" w:cstheme="majorBidi"/>
          <w:sz w:val="24"/>
          <w:szCs w:val="32"/>
        </w:rPr>
      </w:pPr>
    </w:p>
    <w:p w:rsidR="00553FDC" w:rsidRDefault="00553FDC" w:rsidP="00553FDC">
      <w:pPr>
        <w:pStyle w:val="Ruller5"/>
        <w:rPr>
          <w:rFonts w:ascii="Century" w:hAnsi="Century"/>
          <w:rtl/>
        </w:rPr>
      </w:pPr>
      <w:r>
        <w:rPr>
          <w:rFonts w:ascii="Century" w:hAnsi="Century" w:hint="cs"/>
          <w:rtl/>
        </w:rPr>
        <w:t xml:space="preserve">(ההדגשה הוספה </w:t>
      </w:r>
      <w:r>
        <w:rPr>
          <w:rFonts w:ascii="Century" w:hAnsi="Century"/>
          <w:rtl/>
        </w:rPr>
        <w:t>–</w:t>
      </w:r>
      <w:r>
        <w:rPr>
          <w:rFonts w:ascii="Century" w:hAnsi="Century" w:hint="cs"/>
          <w:rtl/>
        </w:rPr>
        <w:t xml:space="preserve"> א.ש.).</w:t>
      </w:r>
    </w:p>
    <w:p w:rsidR="00553FDC" w:rsidRDefault="00553FDC" w:rsidP="00553FDC">
      <w:pPr>
        <w:pStyle w:val="Ruller4"/>
        <w:rPr>
          <w:rtl/>
        </w:rPr>
      </w:pPr>
      <w:r>
        <w:rPr>
          <w:rFonts w:hint="cs"/>
          <w:rtl/>
        </w:rPr>
        <w:lastRenderedPageBreak/>
        <w:t xml:space="preserve">הווה אומר: חוק הוא "חוק" כאשר הוא מוסיף הוראות כלליות להוראות הדין הקיימות בהתייחסו לציבור בלתי מסויים, להבדיל מאדם ספציפי (ראו והשוו: </w:t>
      </w:r>
      <w:r w:rsidRPr="00980DCF">
        <w:rPr>
          <w:rFonts w:hint="eastAsia"/>
          <w:rtl/>
        </w:rPr>
        <w:t>ע</w:t>
      </w:r>
      <w:r w:rsidRPr="00980DCF">
        <w:rPr>
          <w:rtl/>
        </w:rPr>
        <w:t>"</w:t>
      </w:r>
      <w:r w:rsidRPr="00980DCF">
        <w:rPr>
          <w:rFonts w:hint="eastAsia"/>
          <w:rtl/>
        </w:rPr>
        <w:t>פ</w:t>
      </w:r>
      <w:r w:rsidRPr="00980DCF">
        <w:rPr>
          <w:rtl/>
        </w:rPr>
        <w:t xml:space="preserve"> 213/56 </w:t>
      </w:r>
      <w:r w:rsidRPr="00980DCF">
        <w:rPr>
          <w:rFonts w:ascii="Century" w:hAnsi="Century" w:cs="Miriam" w:hint="eastAsia"/>
          <w:b/>
          <w:spacing w:val="0"/>
          <w:sz w:val="22"/>
          <w:szCs w:val="24"/>
          <w:rtl/>
        </w:rPr>
        <w:t>היועץ</w:t>
      </w:r>
      <w:r w:rsidRPr="00980DCF">
        <w:rPr>
          <w:rFonts w:ascii="Century" w:hAnsi="Century" w:cs="Miriam"/>
          <w:b/>
          <w:spacing w:val="0"/>
          <w:sz w:val="22"/>
          <w:szCs w:val="24"/>
          <w:rtl/>
        </w:rPr>
        <w:t xml:space="preserve"> </w:t>
      </w:r>
      <w:r w:rsidRPr="00980DCF">
        <w:rPr>
          <w:rFonts w:ascii="Century" w:hAnsi="Century" w:cs="Miriam" w:hint="eastAsia"/>
          <w:b/>
          <w:spacing w:val="0"/>
          <w:sz w:val="22"/>
          <w:szCs w:val="24"/>
          <w:rtl/>
        </w:rPr>
        <w:t>המשפטי</w:t>
      </w:r>
      <w:r w:rsidRPr="00980DCF">
        <w:rPr>
          <w:rFonts w:ascii="Century" w:hAnsi="Century" w:cs="Miriam"/>
          <w:b/>
          <w:spacing w:val="0"/>
          <w:sz w:val="22"/>
          <w:szCs w:val="24"/>
          <w:rtl/>
        </w:rPr>
        <w:t xml:space="preserve"> </w:t>
      </w:r>
      <w:r w:rsidRPr="00980DCF">
        <w:rPr>
          <w:rFonts w:ascii="Century" w:hAnsi="Century" w:cs="Miriam" w:hint="eastAsia"/>
          <w:b/>
          <w:spacing w:val="0"/>
          <w:sz w:val="22"/>
          <w:szCs w:val="24"/>
          <w:rtl/>
        </w:rPr>
        <w:t>לממשלה</w:t>
      </w:r>
      <w:r w:rsidRPr="00980DCF">
        <w:rPr>
          <w:rFonts w:ascii="Century" w:hAnsi="Century" w:cs="Miriam"/>
          <w:b/>
          <w:spacing w:val="0"/>
          <w:sz w:val="22"/>
          <w:szCs w:val="24"/>
          <w:rtl/>
        </w:rPr>
        <w:t xml:space="preserve"> </w:t>
      </w:r>
      <w:r w:rsidRPr="00980DCF">
        <w:rPr>
          <w:rFonts w:ascii="Century" w:hAnsi="Century" w:cs="Miriam" w:hint="eastAsia"/>
          <w:b/>
          <w:spacing w:val="0"/>
          <w:sz w:val="22"/>
          <w:szCs w:val="24"/>
          <w:rtl/>
        </w:rPr>
        <w:t>נ</w:t>
      </w:r>
      <w:r w:rsidRPr="00980DCF">
        <w:rPr>
          <w:rFonts w:ascii="Century" w:hAnsi="Century" w:cs="Miriam"/>
          <w:b/>
          <w:spacing w:val="0"/>
          <w:sz w:val="22"/>
          <w:szCs w:val="24"/>
          <w:rtl/>
        </w:rPr>
        <w:t>'</w:t>
      </w:r>
      <w:r w:rsidRPr="00980DCF">
        <w:rPr>
          <w:rtl/>
        </w:rPr>
        <w:t xml:space="preserve"> </w:t>
      </w:r>
      <w:r w:rsidRPr="00980DCF">
        <w:rPr>
          <w:rFonts w:ascii="Century" w:hAnsi="Century" w:cs="Miriam" w:hint="eastAsia"/>
          <w:b/>
          <w:spacing w:val="0"/>
          <w:sz w:val="22"/>
          <w:szCs w:val="24"/>
          <w:rtl/>
        </w:rPr>
        <w:t>אלכסנדרוביץ</w:t>
      </w:r>
      <w:r>
        <w:rPr>
          <w:rFonts w:ascii="Century" w:hAnsi="Century" w:hint="cs"/>
          <w:sz w:val="22"/>
          <w:rtl/>
        </w:rPr>
        <w:t>, פ"ד יא 695</w:t>
      </w:r>
      <w:r>
        <w:rPr>
          <w:rFonts w:hint="cs"/>
          <w:rtl/>
        </w:rPr>
        <w:t xml:space="preserve"> </w:t>
      </w:r>
      <w:r w:rsidRPr="00980DCF">
        <w:rPr>
          <w:rtl/>
        </w:rPr>
        <w:t>(1957)</w:t>
      </w:r>
      <w:r>
        <w:rPr>
          <w:rFonts w:hint="cs"/>
          <w:rtl/>
        </w:rPr>
        <w:t>). בשפה פשוטה יותר, המותאמת למציאות הלא-פשוטה שבה אנו חיים: חוק הוא "חוק" כאשר הוא משרת את הדוקטרינה, ולא את הקומבינה.</w:t>
      </w:r>
    </w:p>
    <w:p w:rsidR="00553FDC" w:rsidRDefault="00553FDC" w:rsidP="00553FDC">
      <w:pPr>
        <w:pStyle w:val="Ruller41"/>
        <w:rPr>
          <w:rFonts w:ascii="Century" w:hAnsi="Century" w:cs="Miriam"/>
          <w:b/>
          <w:spacing w:val="0"/>
          <w:szCs w:val="24"/>
          <w:rtl/>
        </w:rPr>
      </w:pPr>
    </w:p>
    <w:p w:rsidR="00553FDC" w:rsidRPr="001264F6" w:rsidRDefault="00553FDC" w:rsidP="00553FDC">
      <w:pPr>
        <w:pStyle w:val="Ruller41"/>
        <w:rPr>
          <w:rFonts w:ascii="Century" w:hAnsi="Century" w:cs="Miriam"/>
          <w:b/>
          <w:spacing w:val="0"/>
          <w:szCs w:val="24"/>
          <w:rtl/>
        </w:rPr>
      </w:pPr>
      <w:r w:rsidRPr="001264F6">
        <w:rPr>
          <w:rFonts w:ascii="Century" w:hAnsi="Century" w:cs="Miriam" w:hint="cs"/>
          <w:b/>
          <w:spacing w:val="0"/>
          <w:szCs w:val="24"/>
          <w:rtl/>
        </w:rPr>
        <w:t>מן הכלל אל הפרט</w:t>
      </w:r>
    </w:p>
    <w:p w:rsidR="00553FDC" w:rsidRDefault="00553FDC" w:rsidP="00553FDC">
      <w:pPr>
        <w:pStyle w:val="Ruller5"/>
        <w:rPr>
          <w:rFonts w:ascii="Century" w:hAnsi="Century"/>
          <w:rtl/>
        </w:rPr>
      </w:pPr>
    </w:p>
    <w:p w:rsidR="00553FDC" w:rsidRDefault="00553FDC" w:rsidP="00553FDC">
      <w:pPr>
        <w:pStyle w:val="Ruller4"/>
      </w:pPr>
      <w:r>
        <w:rPr>
          <w:rFonts w:hint="cs"/>
          <w:rtl/>
        </w:rPr>
        <w:t xml:space="preserve">איש אינו חולק על כך שהחלת החוק המתקן על הבחירות הקרובות לרשויות המקומיות תשרת אדם אחד בלבד: מר בועז יוסף, היושב בראשה של ועדה ממונה בעיר טבריה. מבין ראשי הוועדות הממונות אשר פועלות ברשויות המקומיות השונות בישראל, מר יוסף הוא היחיד שעתיד להעמיד את מועמדותו לבחירה לתפקיד של ראש הרשות המקומית. כמו כן נראה שמר יוסף הצליח בתפקידו כראש הוועדה הממונה והביא תועלת רבה לעיר טבריה ולתושביה (ראו, בין היתר, דברי חה"כ גדעון סער המתועדים בפרוטוקול ועדת הכנסת מיום 5.6.2023, בעמ' 6). מהמסכת העובדתית שהונחה לפנינו עולה שיוזמוֹ של החוק המתקן, חה"כ עמית הלוי, החליט ליזום את חקיקת החוק כדי לעזור לתושבי העיר טבריה ולאפשר למר יוסף להשתתף בבחירות הקרובות במטרה להיבחר לרשות העיר. </w:t>
      </w:r>
    </w:p>
    <w:p w:rsidR="00553FDC" w:rsidRDefault="00553FDC" w:rsidP="00553FDC">
      <w:pPr>
        <w:pStyle w:val="Ruller4"/>
        <w:numPr>
          <w:ilvl w:val="0"/>
          <w:numId w:val="0"/>
        </w:numPr>
      </w:pPr>
    </w:p>
    <w:p w:rsidR="00553FDC" w:rsidRDefault="00553FDC" w:rsidP="00553FDC">
      <w:pPr>
        <w:pStyle w:val="Ruller4"/>
        <w:rPr>
          <w:rtl/>
        </w:rPr>
      </w:pPr>
      <w:r>
        <w:rPr>
          <w:rFonts w:hint="cs"/>
          <w:rtl/>
        </w:rPr>
        <w:t xml:space="preserve">חברי, ממלא-מקום הנשיא, הביא את פרטיה של מסכת עובדתית זו בפסק דינו ואיני רואה סיבה לשוב ולמנות פרטים אלה אחד לאחד. אסתפק בציטוט מדבריו של חה"כ עמית הלוי, אשר נאמרו בדיון בוועדת הכנסת: </w:t>
      </w:r>
    </w:p>
    <w:p w:rsidR="00553FDC" w:rsidRDefault="00553FDC" w:rsidP="00553FDC">
      <w:pPr>
        <w:pStyle w:val="Ruller41"/>
        <w:rPr>
          <w:rtl/>
        </w:rPr>
      </w:pPr>
    </w:p>
    <w:p w:rsidR="00553FDC" w:rsidRPr="00804429" w:rsidRDefault="00553FDC" w:rsidP="00553FDC">
      <w:pPr>
        <w:pStyle w:val="Ruller5"/>
      </w:pPr>
      <w:r>
        <w:rPr>
          <w:rFonts w:hint="cs"/>
          <w:rtl/>
        </w:rPr>
        <w:t>"</w:t>
      </w:r>
      <w:r w:rsidRPr="00BF6A66">
        <w:rPr>
          <w:rFonts w:hint="eastAsia"/>
          <w:rtl/>
        </w:rPr>
        <w:t>כיוון</w:t>
      </w:r>
      <w:r w:rsidRPr="00BF6A66">
        <w:rPr>
          <w:rtl/>
        </w:rPr>
        <w:t xml:space="preserve"> </w:t>
      </w:r>
      <w:r w:rsidRPr="00BF6A66">
        <w:rPr>
          <w:rFonts w:hint="eastAsia"/>
          <w:rtl/>
        </w:rPr>
        <w:t>שיש</w:t>
      </w:r>
      <w:r w:rsidRPr="00BF6A66">
        <w:rPr>
          <w:rtl/>
        </w:rPr>
        <w:t xml:space="preserve"> </w:t>
      </w:r>
      <w:r w:rsidRPr="00BF6A66">
        <w:rPr>
          <w:rFonts w:hint="eastAsia"/>
          <w:rtl/>
        </w:rPr>
        <w:t>לא</w:t>
      </w:r>
      <w:r w:rsidRPr="00BF6A66">
        <w:rPr>
          <w:rtl/>
        </w:rPr>
        <w:t xml:space="preserve"> </w:t>
      </w:r>
      <w:r w:rsidRPr="00BF6A66">
        <w:rPr>
          <w:rFonts w:hint="eastAsia"/>
          <w:rtl/>
        </w:rPr>
        <w:t>מעט</w:t>
      </w:r>
      <w:r w:rsidRPr="00BF6A66">
        <w:rPr>
          <w:rtl/>
        </w:rPr>
        <w:t xml:space="preserve"> </w:t>
      </w:r>
      <w:r w:rsidRPr="00BF6A66">
        <w:rPr>
          <w:rFonts w:hint="eastAsia"/>
          <w:rtl/>
        </w:rPr>
        <w:t>דיסאינפורמציה</w:t>
      </w:r>
      <w:r w:rsidRPr="00BF6A66">
        <w:rPr>
          <w:rtl/>
        </w:rPr>
        <w:t xml:space="preserve"> </w:t>
      </w:r>
      <w:r w:rsidRPr="00BF6A66">
        <w:rPr>
          <w:rFonts w:hint="eastAsia"/>
          <w:rtl/>
        </w:rPr>
        <w:t>לגבי</w:t>
      </w:r>
      <w:r w:rsidRPr="00BF6A66">
        <w:rPr>
          <w:rtl/>
        </w:rPr>
        <w:t xml:space="preserve"> </w:t>
      </w:r>
      <w:r w:rsidRPr="00BF6A66">
        <w:rPr>
          <w:rFonts w:hint="eastAsia"/>
          <w:rtl/>
        </w:rPr>
        <w:t>החוק</w:t>
      </w:r>
      <w:r w:rsidRPr="00BF6A66">
        <w:rPr>
          <w:rtl/>
        </w:rPr>
        <w:t xml:space="preserve"> </w:t>
      </w:r>
      <w:r w:rsidRPr="00BF6A66">
        <w:rPr>
          <w:rFonts w:hint="eastAsia"/>
          <w:rtl/>
        </w:rPr>
        <w:t>הזה</w:t>
      </w:r>
      <w:r w:rsidRPr="00BF6A66">
        <w:rPr>
          <w:rtl/>
        </w:rPr>
        <w:t xml:space="preserve"> </w:t>
      </w:r>
      <w:r w:rsidRPr="00BF6A66">
        <w:rPr>
          <w:rFonts w:hint="eastAsia"/>
          <w:rtl/>
        </w:rPr>
        <w:t>וכל</w:t>
      </w:r>
      <w:r w:rsidRPr="00BF6A66">
        <w:rPr>
          <w:rtl/>
        </w:rPr>
        <w:t xml:space="preserve"> </w:t>
      </w:r>
      <w:r w:rsidRPr="00BF6A66">
        <w:rPr>
          <w:rFonts w:hint="eastAsia"/>
          <w:rtl/>
        </w:rPr>
        <w:t>מיני</w:t>
      </w:r>
      <w:r w:rsidRPr="00BF6A66">
        <w:rPr>
          <w:rtl/>
        </w:rPr>
        <w:t xml:space="preserve"> </w:t>
      </w:r>
      <w:r w:rsidRPr="00BF6A66">
        <w:rPr>
          <w:rFonts w:hint="eastAsia"/>
          <w:rtl/>
        </w:rPr>
        <w:t>רכילויות</w:t>
      </w:r>
      <w:r w:rsidRPr="00BF6A66">
        <w:rPr>
          <w:rtl/>
        </w:rPr>
        <w:t xml:space="preserve"> </w:t>
      </w:r>
      <w:r w:rsidRPr="00BF6A66">
        <w:rPr>
          <w:rFonts w:hint="eastAsia"/>
          <w:rtl/>
        </w:rPr>
        <w:t>שאין</w:t>
      </w:r>
      <w:r w:rsidRPr="00BF6A66">
        <w:rPr>
          <w:rtl/>
        </w:rPr>
        <w:t xml:space="preserve"> </w:t>
      </w:r>
      <w:r w:rsidRPr="00BF6A66">
        <w:rPr>
          <w:rFonts w:hint="eastAsia"/>
          <w:rtl/>
        </w:rPr>
        <w:t>להן</w:t>
      </w:r>
      <w:r w:rsidRPr="00BF6A66">
        <w:rPr>
          <w:rtl/>
        </w:rPr>
        <w:t xml:space="preserve"> </w:t>
      </w:r>
      <w:r w:rsidRPr="00BF6A66">
        <w:rPr>
          <w:rFonts w:hint="eastAsia"/>
          <w:rtl/>
        </w:rPr>
        <w:t>שום</w:t>
      </w:r>
      <w:r w:rsidRPr="00BF6A66">
        <w:rPr>
          <w:rtl/>
        </w:rPr>
        <w:t xml:space="preserve"> </w:t>
      </w:r>
      <w:r w:rsidRPr="00BF6A66">
        <w:rPr>
          <w:rFonts w:hint="eastAsia"/>
          <w:rtl/>
        </w:rPr>
        <w:t>בסיס</w:t>
      </w:r>
      <w:r w:rsidRPr="00BF6A66">
        <w:rPr>
          <w:rtl/>
        </w:rPr>
        <w:t xml:space="preserve">, </w:t>
      </w:r>
      <w:r w:rsidRPr="00BF6A66">
        <w:rPr>
          <w:rFonts w:hint="eastAsia"/>
          <w:rtl/>
        </w:rPr>
        <w:t>אני</w:t>
      </w:r>
      <w:r w:rsidRPr="00BF6A66">
        <w:rPr>
          <w:rtl/>
        </w:rPr>
        <w:t xml:space="preserve"> </w:t>
      </w:r>
      <w:r w:rsidRPr="00BF6A66">
        <w:rPr>
          <w:rFonts w:hint="eastAsia"/>
          <w:rtl/>
        </w:rPr>
        <w:t>אומר</w:t>
      </w:r>
      <w:r w:rsidRPr="00BF6A66">
        <w:rPr>
          <w:rtl/>
        </w:rPr>
        <w:t xml:space="preserve"> </w:t>
      </w:r>
      <w:r w:rsidRPr="00BF6A66">
        <w:rPr>
          <w:rFonts w:hint="eastAsia"/>
          <w:rtl/>
        </w:rPr>
        <w:t>משפט</w:t>
      </w:r>
      <w:r w:rsidRPr="00BF6A66">
        <w:rPr>
          <w:rtl/>
        </w:rPr>
        <w:t xml:space="preserve"> </w:t>
      </w:r>
      <w:r w:rsidRPr="00BF6A66">
        <w:rPr>
          <w:rFonts w:hint="eastAsia"/>
          <w:rtl/>
        </w:rPr>
        <w:t>על</w:t>
      </w:r>
      <w:r w:rsidRPr="00BF6A66">
        <w:rPr>
          <w:rtl/>
        </w:rPr>
        <w:t xml:space="preserve"> </w:t>
      </w:r>
      <w:r w:rsidRPr="00BF6A66">
        <w:rPr>
          <w:rFonts w:hint="eastAsia"/>
          <w:rtl/>
        </w:rPr>
        <w:t>החוק</w:t>
      </w:r>
      <w:r w:rsidRPr="00BF6A66">
        <w:rPr>
          <w:rtl/>
        </w:rPr>
        <w:t xml:space="preserve"> </w:t>
      </w:r>
      <w:r w:rsidRPr="00BF6A66">
        <w:rPr>
          <w:rFonts w:hint="eastAsia"/>
          <w:rtl/>
        </w:rPr>
        <w:t>למרות</w:t>
      </w:r>
      <w:r w:rsidRPr="00BF6A66">
        <w:rPr>
          <w:rtl/>
        </w:rPr>
        <w:t xml:space="preserve"> </w:t>
      </w:r>
      <w:r w:rsidRPr="00BF6A66">
        <w:rPr>
          <w:rFonts w:hint="eastAsia"/>
          <w:rtl/>
        </w:rPr>
        <w:t>שהדיון</w:t>
      </w:r>
      <w:r w:rsidRPr="00BF6A66">
        <w:rPr>
          <w:rtl/>
        </w:rPr>
        <w:t xml:space="preserve"> </w:t>
      </w:r>
      <w:r w:rsidRPr="00BF6A66">
        <w:rPr>
          <w:rFonts w:hint="eastAsia"/>
          <w:rtl/>
        </w:rPr>
        <w:t>פה</w:t>
      </w:r>
      <w:r w:rsidRPr="00BF6A66">
        <w:rPr>
          <w:rtl/>
        </w:rPr>
        <w:t xml:space="preserve"> </w:t>
      </w:r>
      <w:r w:rsidRPr="00BF6A66">
        <w:rPr>
          <w:rFonts w:hint="eastAsia"/>
          <w:rtl/>
        </w:rPr>
        <w:t>הוא</w:t>
      </w:r>
      <w:r w:rsidRPr="00BF6A66">
        <w:rPr>
          <w:rtl/>
        </w:rPr>
        <w:t xml:space="preserve"> </w:t>
      </w:r>
      <w:r w:rsidRPr="00BF6A66">
        <w:rPr>
          <w:rFonts w:hint="eastAsia"/>
          <w:rtl/>
        </w:rPr>
        <w:t>רק</w:t>
      </w:r>
      <w:r w:rsidRPr="00BF6A66">
        <w:rPr>
          <w:rtl/>
        </w:rPr>
        <w:t xml:space="preserve"> </w:t>
      </w:r>
      <w:r w:rsidRPr="00BF6A66">
        <w:rPr>
          <w:rFonts w:hint="eastAsia"/>
          <w:rtl/>
        </w:rPr>
        <w:t>על</w:t>
      </w:r>
      <w:r w:rsidRPr="00BF6A66">
        <w:rPr>
          <w:rtl/>
        </w:rPr>
        <w:t xml:space="preserve"> </w:t>
      </w:r>
      <w:r w:rsidRPr="00BF6A66">
        <w:rPr>
          <w:rFonts w:hint="eastAsia"/>
          <w:rtl/>
        </w:rPr>
        <w:t>הפטור</w:t>
      </w:r>
      <w:r w:rsidRPr="00BF6A66">
        <w:rPr>
          <w:rtl/>
        </w:rPr>
        <w:t xml:space="preserve"> </w:t>
      </w:r>
      <w:r w:rsidRPr="00BF6A66">
        <w:rPr>
          <w:rFonts w:hint="eastAsia"/>
          <w:rtl/>
        </w:rPr>
        <w:t>מחובת</w:t>
      </w:r>
      <w:r w:rsidRPr="00BF6A66">
        <w:rPr>
          <w:rtl/>
        </w:rPr>
        <w:t xml:space="preserve"> </w:t>
      </w:r>
      <w:r w:rsidRPr="00BF6A66">
        <w:rPr>
          <w:rFonts w:hint="eastAsia"/>
          <w:rtl/>
        </w:rPr>
        <w:t>הנחה</w:t>
      </w:r>
      <w:r w:rsidRPr="00BF6A66">
        <w:rPr>
          <w:rtl/>
        </w:rPr>
        <w:t xml:space="preserve">. </w:t>
      </w:r>
      <w:r w:rsidRPr="00BF6A66">
        <w:rPr>
          <w:rFonts w:hint="eastAsia"/>
          <w:rtl/>
        </w:rPr>
        <w:t>מהותו</w:t>
      </w:r>
      <w:r w:rsidRPr="00BF6A66">
        <w:rPr>
          <w:rtl/>
        </w:rPr>
        <w:t xml:space="preserve"> </w:t>
      </w:r>
      <w:r w:rsidRPr="00BF6A66">
        <w:rPr>
          <w:rFonts w:hint="eastAsia"/>
          <w:rtl/>
        </w:rPr>
        <w:t>של</w:t>
      </w:r>
      <w:r w:rsidRPr="00BF6A66">
        <w:rPr>
          <w:rtl/>
        </w:rPr>
        <w:t xml:space="preserve"> </w:t>
      </w:r>
      <w:r w:rsidRPr="00BF6A66">
        <w:rPr>
          <w:rFonts w:hint="eastAsia"/>
          <w:rtl/>
        </w:rPr>
        <w:t>החוק</w:t>
      </w:r>
      <w:r w:rsidRPr="00BF6A66">
        <w:rPr>
          <w:rtl/>
        </w:rPr>
        <w:t xml:space="preserve"> </w:t>
      </w:r>
      <w:r w:rsidRPr="00BF6A66">
        <w:rPr>
          <w:rFonts w:hint="eastAsia"/>
          <w:rtl/>
        </w:rPr>
        <w:t>הזה</w:t>
      </w:r>
      <w:r w:rsidRPr="00BF6A66">
        <w:rPr>
          <w:rtl/>
        </w:rPr>
        <w:t xml:space="preserve">, </w:t>
      </w:r>
      <w:r w:rsidRPr="00BF6A66">
        <w:rPr>
          <w:rFonts w:hint="eastAsia"/>
          <w:rtl/>
        </w:rPr>
        <w:t>שזה</w:t>
      </w:r>
      <w:r w:rsidRPr="00BF6A66">
        <w:rPr>
          <w:rtl/>
        </w:rPr>
        <w:t xml:space="preserve"> </w:t>
      </w:r>
      <w:r w:rsidRPr="00BF6A66">
        <w:rPr>
          <w:rFonts w:hint="eastAsia"/>
          <w:rtl/>
        </w:rPr>
        <w:t>דבר</w:t>
      </w:r>
      <w:r w:rsidRPr="00BF6A66">
        <w:rPr>
          <w:rtl/>
        </w:rPr>
        <w:t xml:space="preserve"> </w:t>
      </w:r>
      <w:r w:rsidRPr="00BF6A66">
        <w:rPr>
          <w:rFonts w:hint="eastAsia"/>
          <w:rtl/>
        </w:rPr>
        <w:t>שאני</w:t>
      </w:r>
      <w:r w:rsidRPr="00BF6A66">
        <w:rPr>
          <w:rtl/>
        </w:rPr>
        <w:t xml:space="preserve"> </w:t>
      </w:r>
      <w:r w:rsidRPr="00BF6A66">
        <w:rPr>
          <w:rFonts w:hint="eastAsia"/>
          <w:rtl/>
        </w:rPr>
        <w:t>עומד</w:t>
      </w:r>
      <w:r w:rsidRPr="00BF6A66">
        <w:rPr>
          <w:rtl/>
        </w:rPr>
        <w:t xml:space="preserve"> </w:t>
      </w:r>
      <w:r w:rsidRPr="00BF6A66">
        <w:rPr>
          <w:rFonts w:hint="eastAsia"/>
          <w:rtl/>
        </w:rPr>
        <w:t>מאחוריו</w:t>
      </w:r>
      <w:r w:rsidRPr="00BF6A66">
        <w:rPr>
          <w:rtl/>
        </w:rPr>
        <w:t xml:space="preserve"> </w:t>
      </w:r>
      <w:r w:rsidRPr="00BF6A66">
        <w:rPr>
          <w:rFonts w:hint="eastAsia"/>
          <w:rtl/>
        </w:rPr>
        <w:t>מבחינה</w:t>
      </w:r>
      <w:r w:rsidRPr="00BF6A66">
        <w:rPr>
          <w:rtl/>
        </w:rPr>
        <w:t xml:space="preserve"> </w:t>
      </w:r>
      <w:r w:rsidRPr="00BF6A66">
        <w:rPr>
          <w:rFonts w:hint="eastAsia"/>
          <w:rtl/>
        </w:rPr>
        <w:t>מוסרית</w:t>
      </w:r>
      <w:r w:rsidRPr="00BF6A66">
        <w:rPr>
          <w:rtl/>
        </w:rPr>
        <w:t xml:space="preserve"> </w:t>
      </w:r>
      <w:r w:rsidRPr="00BF6A66">
        <w:rPr>
          <w:rFonts w:hint="eastAsia"/>
          <w:rtl/>
        </w:rPr>
        <w:t>ומבחינה</w:t>
      </w:r>
      <w:r w:rsidRPr="00BF6A66">
        <w:rPr>
          <w:rtl/>
        </w:rPr>
        <w:t xml:space="preserve"> </w:t>
      </w:r>
      <w:r w:rsidRPr="00BF6A66">
        <w:rPr>
          <w:rFonts w:hint="eastAsia"/>
          <w:rtl/>
        </w:rPr>
        <w:t>משטרית</w:t>
      </w:r>
      <w:r w:rsidRPr="00BF6A66">
        <w:rPr>
          <w:rtl/>
        </w:rPr>
        <w:t xml:space="preserve">, </w:t>
      </w:r>
      <w:r w:rsidRPr="00BF6A66">
        <w:rPr>
          <w:rFonts w:hint="eastAsia"/>
          <w:rtl/>
        </w:rPr>
        <w:t>הוא</w:t>
      </w:r>
      <w:r w:rsidRPr="00BF6A66">
        <w:rPr>
          <w:rtl/>
        </w:rPr>
        <w:t xml:space="preserve"> </w:t>
      </w:r>
      <w:r w:rsidRPr="00BF6A66">
        <w:rPr>
          <w:rFonts w:hint="eastAsia"/>
          <w:rtl/>
        </w:rPr>
        <w:t>לחזור</w:t>
      </w:r>
      <w:r w:rsidRPr="00BF6A66">
        <w:rPr>
          <w:rtl/>
        </w:rPr>
        <w:t xml:space="preserve"> </w:t>
      </w:r>
      <w:r w:rsidRPr="00BF6A66">
        <w:rPr>
          <w:rFonts w:hint="eastAsia"/>
          <w:rtl/>
        </w:rPr>
        <w:t>למצב</w:t>
      </w:r>
      <w:r w:rsidRPr="00BF6A66">
        <w:rPr>
          <w:rtl/>
        </w:rPr>
        <w:t xml:space="preserve"> </w:t>
      </w:r>
      <w:r w:rsidRPr="00BF6A66">
        <w:rPr>
          <w:rFonts w:hint="eastAsia"/>
          <w:rtl/>
        </w:rPr>
        <w:t>שהיה</w:t>
      </w:r>
      <w:r w:rsidRPr="00BF6A66">
        <w:rPr>
          <w:rtl/>
        </w:rPr>
        <w:t xml:space="preserve"> </w:t>
      </w:r>
      <w:r w:rsidRPr="00BF6A66">
        <w:rPr>
          <w:rFonts w:hint="eastAsia"/>
          <w:rtl/>
        </w:rPr>
        <w:t>לפני</w:t>
      </w:r>
      <w:r w:rsidRPr="00BF6A66">
        <w:rPr>
          <w:rtl/>
        </w:rPr>
        <w:t xml:space="preserve"> 2008, </w:t>
      </w:r>
      <w:r w:rsidRPr="00BF6A66">
        <w:rPr>
          <w:rFonts w:hint="eastAsia"/>
          <w:rtl/>
        </w:rPr>
        <w:t>לפני</w:t>
      </w:r>
      <w:r w:rsidRPr="00BF6A66">
        <w:rPr>
          <w:rtl/>
        </w:rPr>
        <w:t xml:space="preserve"> </w:t>
      </w:r>
      <w:r w:rsidRPr="00BF6A66">
        <w:rPr>
          <w:rFonts w:hint="eastAsia"/>
          <w:rtl/>
        </w:rPr>
        <w:t>התיקון</w:t>
      </w:r>
      <w:r w:rsidRPr="00BF6A66">
        <w:rPr>
          <w:rtl/>
        </w:rPr>
        <w:t xml:space="preserve"> </w:t>
      </w:r>
      <w:r w:rsidRPr="00BF6A66">
        <w:rPr>
          <w:rFonts w:hint="eastAsia"/>
          <w:rtl/>
        </w:rPr>
        <w:t>שעשתה</w:t>
      </w:r>
      <w:r w:rsidRPr="00BF6A66">
        <w:rPr>
          <w:rtl/>
        </w:rPr>
        <w:t xml:space="preserve"> </w:t>
      </w:r>
      <w:r w:rsidRPr="00BF6A66">
        <w:rPr>
          <w:rFonts w:hint="eastAsia"/>
          <w:rtl/>
        </w:rPr>
        <w:t>בזמנו</w:t>
      </w:r>
      <w:r w:rsidRPr="00BF6A66">
        <w:rPr>
          <w:rtl/>
        </w:rPr>
        <w:t xml:space="preserve"> </w:t>
      </w:r>
      <w:r w:rsidRPr="00BF6A66">
        <w:rPr>
          <w:rFonts w:hint="eastAsia"/>
          <w:rtl/>
        </w:rPr>
        <w:t>קואליציית</w:t>
      </w:r>
      <w:r w:rsidRPr="00BF6A66">
        <w:rPr>
          <w:rtl/>
        </w:rPr>
        <w:t xml:space="preserve"> </w:t>
      </w:r>
      <w:r w:rsidRPr="00BF6A66">
        <w:rPr>
          <w:rFonts w:hint="eastAsia"/>
          <w:rtl/>
        </w:rPr>
        <w:t>אולמרט</w:t>
      </w:r>
      <w:r w:rsidRPr="00BF6A66">
        <w:rPr>
          <w:rtl/>
        </w:rPr>
        <w:t xml:space="preserve"> </w:t>
      </w:r>
      <w:r>
        <w:rPr>
          <w:rtl/>
        </w:rPr>
        <w:t>–</w:t>
      </w:r>
      <w:r w:rsidRPr="00BF6A66">
        <w:rPr>
          <w:rtl/>
        </w:rPr>
        <w:t xml:space="preserve"> </w:t>
      </w:r>
      <w:r w:rsidRPr="00BF6A66">
        <w:rPr>
          <w:rFonts w:hint="eastAsia"/>
          <w:rtl/>
        </w:rPr>
        <w:t>לאפשר</w:t>
      </w:r>
      <w:r w:rsidRPr="00BF6A66">
        <w:rPr>
          <w:rtl/>
        </w:rPr>
        <w:t xml:space="preserve"> </w:t>
      </w:r>
      <w:r w:rsidRPr="00BF6A66">
        <w:rPr>
          <w:rFonts w:hint="eastAsia"/>
          <w:rtl/>
        </w:rPr>
        <w:t>לתושבי</w:t>
      </w:r>
      <w:r w:rsidRPr="00BF6A66">
        <w:rPr>
          <w:rtl/>
        </w:rPr>
        <w:t xml:space="preserve"> </w:t>
      </w:r>
      <w:r w:rsidRPr="00BF6A66">
        <w:rPr>
          <w:rFonts w:hint="eastAsia"/>
          <w:rtl/>
        </w:rPr>
        <w:t>רשויות</w:t>
      </w:r>
      <w:r w:rsidRPr="00BF6A66">
        <w:rPr>
          <w:rtl/>
        </w:rPr>
        <w:t xml:space="preserve"> </w:t>
      </w:r>
      <w:r w:rsidRPr="00BF6A66">
        <w:rPr>
          <w:rFonts w:hint="eastAsia"/>
          <w:rtl/>
        </w:rPr>
        <w:t>מקומיות</w:t>
      </w:r>
      <w:r w:rsidRPr="00BF6A66">
        <w:rPr>
          <w:rtl/>
        </w:rPr>
        <w:t xml:space="preserve"> </w:t>
      </w:r>
      <w:r w:rsidRPr="00BF6A66">
        <w:rPr>
          <w:rFonts w:hint="eastAsia"/>
          <w:rtl/>
        </w:rPr>
        <w:t>לבחור</w:t>
      </w:r>
      <w:r w:rsidRPr="00BF6A66">
        <w:rPr>
          <w:rtl/>
        </w:rPr>
        <w:t xml:space="preserve"> </w:t>
      </w:r>
      <w:r w:rsidRPr="00BF6A66">
        <w:rPr>
          <w:rFonts w:hint="eastAsia"/>
          <w:rtl/>
        </w:rPr>
        <w:t>ברשויות</w:t>
      </w:r>
      <w:r w:rsidRPr="00BF6A66">
        <w:rPr>
          <w:rtl/>
        </w:rPr>
        <w:t xml:space="preserve"> </w:t>
      </w:r>
      <w:r w:rsidRPr="00BF6A66">
        <w:rPr>
          <w:rFonts w:hint="eastAsia"/>
          <w:rtl/>
        </w:rPr>
        <w:t>שמונה</w:t>
      </w:r>
      <w:r w:rsidRPr="00BF6A66">
        <w:rPr>
          <w:rtl/>
        </w:rPr>
        <w:t xml:space="preserve"> </w:t>
      </w:r>
      <w:r w:rsidRPr="00BF6A66">
        <w:rPr>
          <w:rFonts w:hint="eastAsia"/>
          <w:rtl/>
        </w:rPr>
        <w:t>להן</w:t>
      </w:r>
      <w:r w:rsidRPr="00BF6A66">
        <w:rPr>
          <w:rtl/>
        </w:rPr>
        <w:t xml:space="preserve"> </w:t>
      </w:r>
      <w:r w:rsidRPr="00BF6A66">
        <w:rPr>
          <w:rFonts w:hint="eastAsia"/>
          <w:rtl/>
        </w:rPr>
        <w:t>ממונה</w:t>
      </w:r>
      <w:r w:rsidRPr="00BF6A66">
        <w:rPr>
          <w:rtl/>
        </w:rPr>
        <w:t xml:space="preserve">. </w:t>
      </w:r>
      <w:r w:rsidRPr="00BF6A66">
        <w:rPr>
          <w:rFonts w:ascii="Century" w:hAnsi="Century" w:cs="Miriam" w:hint="eastAsia"/>
          <w:b/>
          <w:spacing w:val="0"/>
          <w:szCs w:val="24"/>
          <w:rtl/>
        </w:rPr>
        <w:t>הערך</w:t>
      </w:r>
      <w:r w:rsidRPr="00BF6A66">
        <w:rPr>
          <w:rFonts w:ascii="Century" w:hAnsi="Century" w:cs="Miriam"/>
          <w:b/>
          <w:spacing w:val="0"/>
          <w:szCs w:val="24"/>
          <w:rtl/>
        </w:rPr>
        <w:t xml:space="preserve"> </w:t>
      </w:r>
      <w:r w:rsidRPr="00BF6A66">
        <w:rPr>
          <w:rFonts w:ascii="Century" w:hAnsi="Century" w:cs="Miriam" w:hint="eastAsia"/>
          <w:b/>
          <w:spacing w:val="0"/>
          <w:szCs w:val="24"/>
          <w:rtl/>
        </w:rPr>
        <w:t>של</w:t>
      </w:r>
      <w:r w:rsidRPr="00BF6A66">
        <w:rPr>
          <w:rFonts w:ascii="Century" w:hAnsi="Century" w:cs="Miriam"/>
          <w:b/>
          <w:spacing w:val="0"/>
          <w:szCs w:val="24"/>
          <w:rtl/>
        </w:rPr>
        <w:t xml:space="preserve"> 50,000 </w:t>
      </w:r>
      <w:r w:rsidRPr="00BF6A66">
        <w:rPr>
          <w:rFonts w:ascii="Century" w:hAnsi="Century" w:cs="Miriam" w:hint="eastAsia"/>
          <w:b/>
          <w:spacing w:val="0"/>
          <w:szCs w:val="24"/>
          <w:rtl/>
        </w:rPr>
        <w:t>תושבי</w:t>
      </w:r>
      <w:r w:rsidRPr="00BF6A66">
        <w:rPr>
          <w:rFonts w:ascii="Century" w:hAnsi="Century" w:cs="Miriam"/>
          <w:b/>
          <w:spacing w:val="0"/>
          <w:szCs w:val="24"/>
          <w:rtl/>
        </w:rPr>
        <w:t xml:space="preserve"> </w:t>
      </w:r>
      <w:r w:rsidRPr="00BF6A66">
        <w:rPr>
          <w:rFonts w:ascii="Century" w:hAnsi="Century" w:cs="Miriam" w:hint="eastAsia"/>
          <w:b/>
          <w:spacing w:val="0"/>
          <w:szCs w:val="24"/>
          <w:rtl/>
        </w:rPr>
        <w:t>טבריה</w:t>
      </w:r>
      <w:r w:rsidRPr="00BF6A66">
        <w:rPr>
          <w:rFonts w:ascii="Century" w:hAnsi="Century" w:cs="Miriam"/>
          <w:b/>
          <w:spacing w:val="0"/>
          <w:szCs w:val="24"/>
          <w:rtl/>
        </w:rPr>
        <w:t xml:space="preserve"> </w:t>
      </w:r>
      <w:r w:rsidRPr="00BF6A66">
        <w:rPr>
          <w:rFonts w:ascii="Century" w:hAnsi="Century" w:cs="Miriam" w:hint="eastAsia"/>
          <w:b/>
          <w:spacing w:val="0"/>
          <w:szCs w:val="24"/>
          <w:rtl/>
        </w:rPr>
        <w:t>שיבואו</w:t>
      </w:r>
      <w:r w:rsidRPr="00BF6A66">
        <w:rPr>
          <w:rFonts w:ascii="Century" w:hAnsi="Century" w:cs="Miriam"/>
          <w:b/>
          <w:spacing w:val="0"/>
          <w:szCs w:val="24"/>
          <w:rtl/>
        </w:rPr>
        <w:t xml:space="preserve"> </w:t>
      </w:r>
      <w:r w:rsidRPr="00BF6A66">
        <w:rPr>
          <w:rFonts w:ascii="Century" w:hAnsi="Century" w:cs="Miriam" w:hint="eastAsia"/>
          <w:b/>
          <w:spacing w:val="0"/>
          <w:szCs w:val="24"/>
          <w:rtl/>
        </w:rPr>
        <w:t>לקלפי</w:t>
      </w:r>
      <w:r w:rsidRPr="00BF6A66">
        <w:rPr>
          <w:rFonts w:ascii="Century" w:hAnsi="Century" w:cs="Miriam"/>
          <w:b/>
          <w:spacing w:val="0"/>
          <w:szCs w:val="24"/>
          <w:rtl/>
        </w:rPr>
        <w:t xml:space="preserve"> </w:t>
      </w:r>
      <w:r w:rsidRPr="00BF6A66">
        <w:rPr>
          <w:rFonts w:ascii="Century" w:hAnsi="Century" w:cs="Miriam" w:hint="eastAsia"/>
          <w:b/>
          <w:spacing w:val="0"/>
          <w:szCs w:val="24"/>
          <w:rtl/>
        </w:rPr>
        <w:t>ויוכלו</w:t>
      </w:r>
      <w:r w:rsidRPr="00BF6A66">
        <w:rPr>
          <w:rFonts w:ascii="Century" w:hAnsi="Century" w:cs="Miriam"/>
          <w:b/>
          <w:spacing w:val="0"/>
          <w:szCs w:val="24"/>
          <w:rtl/>
        </w:rPr>
        <w:t xml:space="preserve"> </w:t>
      </w:r>
      <w:r w:rsidRPr="00BF6A66">
        <w:rPr>
          <w:rFonts w:ascii="Century" w:hAnsi="Century" w:cs="Miriam" w:hint="eastAsia"/>
          <w:b/>
          <w:spacing w:val="0"/>
          <w:szCs w:val="24"/>
          <w:rtl/>
        </w:rPr>
        <w:t>לבחור</w:t>
      </w:r>
      <w:r w:rsidRPr="00BF6A66">
        <w:rPr>
          <w:rFonts w:ascii="Century" w:hAnsi="Century" w:cs="Miriam"/>
          <w:b/>
          <w:spacing w:val="0"/>
          <w:szCs w:val="24"/>
          <w:rtl/>
        </w:rPr>
        <w:t xml:space="preserve"> </w:t>
      </w:r>
      <w:r w:rsidRPr="00BF6A66">
        <w:rPr>
          <w:rFonts w:ascii="Century" w:hAnsi="Century" w:cs="Miriam" w:hint="eastAsia"/>
          <w:b/>
          <w:spacing w:val="0"/>
          <w:szCs w:val="24"/>
          <w:rtl/>
        </w:rPr>
        <w:t>את</w:t>
      </w:r>
      <w:r w:rsidRPr="00BF6A66">
        <w:rPr>
          <w:rFonts w:ascii="Century" w:hAnsi="Century" w:cs="Miriam"/>
          <w:b/>
          <w:spacing w:val="0"/>
          <w:szCs w:val="24"/>
          <w:rtl/>
        </w:rPr>
        <w:t xml:space="preserve"> </w:t>
      </w:r>
      <w:r w:rsidRPr="00BF6A66">
        <w:rPr>
          <w:rFonts w:ascii="Century" w:hAnsi="Century" w:cs="Miriam" w:hint="eastAsia"/>
          <w:b/>
          <w:spacing w:val="0"/>
          <w:szCs w:val="24"/>
          <w:rtl/>
        </w:rPr>
        <w:t>המועמד</w:t>
      </w:r>
      <w:r w:rsidRPr="00BF6A66">
        <w:rPr>
          <w:rFonts w:ascii="Century" w:hAnsi="Century" w:cs="Miriam"/>
          <w:b/>
          <w:spacing w:val="0"/>
          <w:szCs w:val="24"/>
          <w:rtl/>
        </w:rPr>
        <w:t xml:space="preserve"> </w:t>
      </w:r>
      <w:r w:rsidRPr="00BF6A66">
        <w:rPr>
          <w:rFonts w:ascii="Century" w:hAnsi="Century" w:cs="Miriam" w:hint="eastAsia"/>
          <w:b/>
          <w:spacing w:val="0"/>
          <w:szCs w:val="24"/>
          <w:rtl/>
        </w:rPr>
        <w:t>הטוב</w:t>
      </w:r>
      <w:r w:rsidRPr="00BF6A66">
        <w:rPr>
          <w:rFonts w:ascii="Century" w:hAnsi="Century" w:cs="Miriam"/>
          <w:b/>
          <w:spacing w:val="0"/>
          <w:szCs w:val="24"/>
          <w:rtl/>
        </w:rPr>
        <w:t xml:space="preserve"> </w:t>
      </w:r>
      <w:r w:rsidRPr="00BF6A66">
        <w:rPr>
          <w:rFonts w:ascii="Century" w:hAnsi="Century" w:cs="Miriam" w:hint="eastAsia"/>
          <w:b/>
          <w:spacing w:val="0"/>
          <w:szCs w:val="24"/>
          <w:rtl/>
        </w:rPr>
        <w:t>בעיניהם</w:t>
      </w:r>
      <w:r w:rsidRPr="00BF6A66">
        <w:rPr>
          <w:rFonts w:ascii="Century" w:hAnsi="Century" w:cs="Miriam"/>
          <w:b/>
          <w:spacing w:val="0"/>
          <w:szCs w:val="24"/>
          <w:rtl/>
        </w:rPr>
        <w:t xml:space="preserve"> </w:t>
      </w:r>
      <w:r w:rsidRPr="00BF6A66">
        <w:rPr>
          <w:rFonts w:ascii="Century" w:hAnsi="Century" w:cs="Miriam" w:hint="eastAsia"/>
          <w:b/>
          <w:spacing w:val="0"/>
          <w:szCs w:val="24"/>
          <w:rtl/>
        </w:rPr>
        <w:t>צריך</w:t>
      </w:r>
      <w:r w:rsidRPr="00BF6A66">
        <w:rPr>
          <w:rFonts w:ascii="Century" w:hAnsi="Century" w:cs="Miriam"/>
          <w:b/>
          <w:spacing w:val="0"/>
          <w:szCs w:val="24"/>
          <w:rtl/>
        </w:rPr>
        <w:t xml:space="preserve"> </w:t>
      </w:r>
      <w:r w:rsidRPr="00BF6A66">
        <w:rPr>
          <w:rFonts w:ascii="Century" w:hAnsi="Century" w:cs="Miriam" w:hint="eastAsia"/>
          <w:b/>
          <w:spacing w:val="0"/>
          <w:szCs w:val="24"/>
          <w:rtl/>
        </w:rPr>
        <w:t>להיות</w:t>
      </w:r>
      <w:r w:rsidRPr="00BF6A66">
        <w:rPr>
          <w:rFonts w:ascii="Century" w:hAnsi="Century" w:cs="Miriam"/>
          <w:b/>
          <w:spacing w:val="0"/>
          <w:szCs w:val="24"/>
          <w:rtl/>
        </w:rPr>
        <w:t xml:space="preserve"> </w:t>
      </w:r>
      <w:r w:rsidRPr="00BF6A66">
        <w:rPr>
          <w:rFonts w:ascii="Century" w:hAnsi="Century" w:cs="Miriam" w:hint="eastAsia"/>
          <w:b/>
          <w:spacing w:val="0"/>
          <w:szCs w:val="24"/>
          <w:rtl/>
        </w:rPr>
        <w:t>הערך</w:t>
      </w:r>
      <w:r w:rsidRPr="00BF6A66">
        <w:rPr>
          <w:rFonts w:ascii="Century" w:hAnsi="Century" w:cs="Miriam"/>
          <w:b/>
          <w:spacing w:val="0"/>
          <w:szCs w:val="24"/>
          <w:rtl/>
        </w:rPr>
        <w:t xml:space="preserve"> </w:t>
      </w:r>
      <w:r w:rsidRPr="00BF6A66">
        <w:rPr>
          <w:rFonts w:ascii="Century" w:hAnsi="Century" w:cs="Miriam" w:hint="eastAsia"/>
          <w:b/>
          <w:spacing w:val="0"/>
          <w:szCs w:val="24"/>
          <w:rtl/>
        </w:rPr>
        <w:t>המכריע</w:t>
      </w:r>
      <w:r w:rsidRPr="00BF6A66">
        <w:rPr>
          <w:rFonts w:ascii="Century" w:hAnsi="Century" w:cs="Miriam"/>
          <w:b/>
          <w:spacing w:val="0"/>
          <w:szCs w:val="24"/>
          <w:rtl/>
        </w:rPr>
        <w:t xml:space="preserve"> </w:t>
      </w:r>
      <w:r w:rsidRPr="00BF6A66">
        <w:rPr>
          <w:rFonts w:ascii="Century" w:hAnsi="Century" w:cs="Miriam" w:hint="eastAsia"/>
          <w:b/>
          <w:spacing w:val="0"/>
          <w:szCs w:val="24"/>
          <w:rtl/>
        </w:rPr>
        <w:t>בדמוקרטיה</w:t>
      </w:r>
      <w:r w:rsidRPr="00BF6A66">
        <w:rPr>
          <w:rFonts w:ascii="Century" w:hAnsi="Century" w:cs="Miriam"/>
          <w:b/>
          <w:spacing w:val="0"/>
          <w:szCs w:val="24"/>
          <w:rtl/>
        </w:rPr>
        <w:t>.</w:t>
      </w:r>
      <w:r w:rsidRPr="00BF6A66">
        <w:rPr>
          <w:rtl/>
        </w:rPr>
        <w:t xml:space="preserve"> </w:t>
      </w:r>
      <w:r w:rsidRPr="00BF6A66">
        <w:rPr>
          <w:rFonts w:hint="eastAsia"/>
          <w:rtl/>
        </w:rPr>
        <w:t>הנוסח</w:t>
      </w:r>
      <w:r w:rsidRPr="00BF6A66">
        <w:rPr>
          <w:rtl/>
        </w:rPr>
        <w:t xml:space="preserve"> </w:t>
      </w:r>
      <w:r w:rsidRPr="00BF6A66">
        <w:rPr>
          <w:rFonts w:hint="eastAsia"/>
          <w:rtl/>
        </w:rPr>
        <w:t>המקורי</w:t>
      </w:r>
      <w:r w:rsidRPr="00BF6A66">
        <w:rPr>
          <w:rtl/>
        </w:rPr>
        <w:t xml:space="preserve"> </w:t>
      </w:r>
      <w:r w:rsidRPr="00BF6A66">
        <w:rPr>
          <w:rFonts w:hint="eastAsia"/>
          <w:rtl/>
        </w:rPr>
        <w:t>שאותו</w:t>
      </w:r>
      <w:r w:rsidRPr="00BF6A66">
        <w:rPr>
          <w:rtl/>
        </w:rPr>
        <w:t xml:space="preserve"> </w:t>
      </w:r>
      <w:r w:rsidRPr="00BF6A66">
        <w:rPr>
          <w:rFonts w:hint="eastAsia"/>
          <w:rtl/>
        </w:rPr>
        <w:t>כתבתי</w:t>
      </w:r>
      <w:r w:rsidRPr="00BF6A66">
        <w:rPr>
          <w:rtl/>
        </w:rPr>
        <w:t xml:space="preserve"> </w:t>
      </w:r>
      <w:r w:rsidRPr="00BF6A66">
        <w:rPr>
          <w:rFonts w:hint="eastAsia"/>
          <w:rtl/>
        </w:rPr>
        <w:t>מלכתחילה</w:t>
      </w:r>
      <w:r w:rsidRPr="00BF6A66">
        <w:rPr>
          <w:rtl/>
        </w:rPr>
        <w:t xml:space="preserve"> </w:t>
      </w:r>
      <w:r w:rsidRPr="00BF6A66">
        <w:rPr>
          <w:rFonts w:hint="eastAsia"/>
          <w:rtl/>
        </w:rPr>
        <w:t>התייחס</w:t>
      </w:r>
      <w:r w:rsidRPr="00BF6A66">
        <w:rPr>
          <w:rtl/>
        </w:rPr>
        <w:t xml:space="preserve"> </w:t>
      </w:r>
      <w:r w:rsidRPr="00BF6A66">
        <w:rPr>
          <w:rFonts w:hint="eastAsia"/>
          <w:rtl/>
        </w:rPr>
        <w:t>רק</w:t>
      </w:r>
      <w:r w:rsidRPr="00BF6A66">
        <w:rPr>
          <w:rtl/>
        </w:rPr>
        <w:t xml:space="preserve"> </w:t>
      </w:r>
      <w:r w:rsidRPr="00BF6A66">
        <w:rPr>
          <w:rFonts w:hint="eastAsia"/>
          <w:rtl/>
        </w:rPr>
        <w:t>לראש</w:t>
      </w:r>
      <w:r w:rsidRPr="00BF6A66">
        <w:rPr>
          <w:rtl/>
        </w:rPr>
        <w:t xml:space="preserve"> </w:t>
      </w:r>
      <w:r w:rsidRPr="00BF6A66">
        <w:rPr>
          <w:rFonts w:hint="eastAsia"/>
          <w:rtl/>
        </w:rPr>
        <w:t>מועצה</w:t>
      </w:r>
      <w:r w:rsidRPr="00BF6A66">
        <w:rPr>
          <w:rtl/>
        </w:rPr>
        <w:t xml:space="preserve"> </w:t>
      </w:r>
      <w:r w:rsidRPr="00BF6A66">
        <w:rPr>
          <w:rFonts w:hint="eastAsia"/>
          <w:rtl/>
        </w:rPr>
        <w:t>ממונה</w:t>
      </w:r>
      <w:r w:rsidRPr="00BF6A66">
        <w:rPr>
          <w:rtl/>
        </w:rPr>
        <w:t xml:space="preserve"> </w:t>
      </w:r>
      <w:r w:rsidRPr="00BF6A66">
        <w:rPr>
          <w:rFonts w:hint="eastAsia"/>
          <w:rtl/>
        </w:rPr>
        <w:t>שהבריא</w:t>
      </w:r>
      <w:r w:rsidRPr="00BF6A66">
        <w:rPr>
          <w:rtl/>
        </w:rPr>
        <w:t xml:space="preserve"> </w:t>
      </w:r>
      <w:r w:rsidRPr="00BF6A66">
        <w:rPr>
          <w:rFonts w:hint="eastAsia"/>
          <w:rtl/>
        </w:rPr>
        <w:t>את</w:t>
      </w:r>
      <w:r w:rsidRPr="00BF6A66">
        <w:rPr>
          <w:rtl/>
        </w:rPr>
        <w:t xml:space="preserve"> </w:t>
      </w:r>
      <w:r w:rsidRPr="00BF6A66">
        <w:rPr>
          <w:rFonts w:hint="eastAsia"/>
          <w:rtl/>
        </w:rPr>
        <w:t>העיר</w:t>
      </w:r>
      <w:r w:rsidRPr="00BF6A66">
        <w:rPr>
          <w:rtl/>
        </w:rPr>
        <w:t xml:space="preserve">. </w:t>
      </w:r>
      <w:r w:rsidRPr="00BF6A66">
        <w:rPr>
          <w:rFonts w:hint="eastAsia"/>
          <w:rtl/>
        </w:rPr>
        <w:t>הרציונל</w:t>
      </w:r>
      <w:r w:rsidRPr="00BF6A66">
        <w:rPr>
          <w:rtl/>
        </w:rPr>
        <w:t xml:space="preserve"> </w:t>
      </w:r>
      <w:r w:rsidRPr="00BF6A66">
        <w:rPr>
          <w:rFonts w:hint="eastAsia"/>
          <w:rtl/>
        </w:rPr>
        <w:t>של</w:t>
      </w:r>
      <w:r w:rsidRPr="00BF6A66">
        <w:rPr>
          <w:rtl/>
        </w:rPr>
        <w:t xml:space="preserve"> </w:t>
      </w:r>
      <w:r w:rsidRPr="00BF6A66">
        <w:rPr>
          <w:rFonts w:hint="eastAsia"/>
          <w:rtl/>
        </w:rPr>
        <w:t>התיקון</w:t>
      </w:r>
      <w:r w:rsidRPr="00BF6A66">
        <w:rPr>
          <w:rtl/>
        </w:rPr>
        <w:t xml:space="preserve"> </w:t>
      </w:r>
      <w:r w:rsidRPr="00BF6A66">
        <w:rPr>
          <w:rFonts w:hint="eastAsia"/>
          <w:rtl/>
        </w:rPr>
        <w:t>ב</w:t>
      </w:r>
      <w:r w:rsidRPr="00BF6A66">
        <w:rPr>
          <w:rtl/>
        </w:rPr>
        <w:t xml:space="preserve">-2008 </w:t>
      </w:r>
      <w:r w:rsidRPr="00BF6A66">
        <w:rPr>
          <w:rFonts w:hint="eastAsia"/>
          <w:rtl/>
        </w:rPr>
        <w:t>היה</w:t>
      </w:r>
      <w:r w:rsidRPr="00BF6A66">
        <w:rPr>
          <w:rtl/>
        </w:rPr>
        <w:t xml:space="preserve"> </w:t>
      </w:r>
      <w:r w:rsidRPr="00BF6A66">
        <w:rPr>
          <w:rFonts w:hint="eastAsia"/>
          <w:rtl/>
        </w:rPr>
        <w:t>לשחרר</w:t>
      </w:r>
      <w:r w:rsidRPr="00BF6A66">
        <w:rPr>
          <w:rtl/>
        </w:rPr>
        <w:t xml:space="preserve"> </w:t>
      </w:r>
      <w:r w:rsidRPr="00BF6A66">
        <w:rPr>
          <w:rFonts w:hint="eastAsia"/>
          <w:rtl/>
        </w:rPr>
        <w:t>ראש</w:t>
      </w:r>
      <w:r w:rsidRPr="00BF6A66">
        <w:rPr>
          <w:rtl/>
        </w:rPr>
        <w:t xml:space="preserve"> </w:t>
      </w:r>
      <w:r w:rsidRPr="00BF6A66">
        <w:rPr>
          <w:rFonts w:hint="eastAsia"/>
          <w:rtl/>
        </w:rPr>
        <w:t>מועצה</w:t>
      </w:r>
      <w:r w:rsidRPr="00BF6A66">
        <w:rPr>
          <w:rtl/>
        </w:rPr>
        <w:t xml:space="preserve"> </w:t>
      </w:r>
      <w:r w:rsidRPr="00BF6A66">
        <w:rPr>
          <w:rFonts w:hint="eastAsia"/>
          <w:rtl/>
        </w:rPr>
        <w:t>ממונה</w:t>
      </w:r>
      <w:r w:rsidRPr="00BF6A66">
        <w:rPr>
          <w:rtl/>
        </w:rPr>
        <w:t xml:space="preserve"> </w:t>
      </w:r>
      <w:r w:rsidRPr="00BF6A66">
        <w:rPr>
          <w:rFonts w:hint="eastAsia"/>
          <w:rtl/>
        </w:rPr>
        <w:t>מאינטרסים</w:t>
      </w:r>
      <w:r w:rsidRPr="00BF6A66">
        <w:rPr>
          <w:rtl/>
        </w:rPr>
        <w:t xml:space="preserve"> </w:t>
      </w:r>
      <w:r w:rsidRPr="00BF6A66">
        <w:rPr>
          <w:rFonts w:hint="eastAsia"/>
          <w:rtl/>
        </w:rPr>
        <w:t>קצרי</w:t>
      </w:r>
      <w:r w:rsidRPr="00BF6A66">
        <w:rPr>
          <w:rtl/>
        </w:rPr>
        <w:t xml:space="preserve"> </w:t>
      </w:r>
      <w:r w:rsidRPr="00BF6A66">
        <w:rPr>
          <w:rFonts w:hint="eastAsia"/>
          <w:rtl/>
        </w:rPr>
        <w:t>טווח</w:t>
      </w:r>
      <w:r w:rsidRPr="00BF6A66">
        <w:rPr>
          <w:rtl/>
        </w:rPr>
        <w:t xml:space="preserve"> </w:t>
      </w:r>
      <w:r w:rsidRPr="00BF6A66">
        <w:rPr>
          <w:rFonts w:hint="eastAsia"/>
          <w:rtl/>
        </w:rPr>
        <w:t>כך</w:t>
      </w:r>
      <w:r w:rsidRPr="00BF6A66">
        <w:rPr>
          <w:rtl/>
        </w:rPr>
        <w:t xml:space="preserve"> </w:t>
      </w:r>
      <w:r w:rsidRPr="00BF6A66">
        <w:rPr>
          <w:rFonts w:hint="eastAsia"/>
          <w:rtl/>
        </w:rPr>
        <w:t>שהוא</w:t>
      </w:r>
      <w:r w:rsidRPr="00BF6A66">
        <w:rPr>
          <w:rtl/>
        </w:rPr>
        <w:t xml:space="preserve"> </w:t>
      </w:r>
      <w:r w:rsidRPr="00BF6A66">
        <w:rPr>
          <w:rFonts w:hint="eastAsia"/>
          <w:rtl/>
        </w:rPr>
        <w:t>יידע</w:t>
      </w:r>
      <w:r w:rsidRPr="00BF6A66">
        <w:rPr>
          <w:rtl/>
        </w:rPr>
        <w:t xml:space="preserve"> </w:t>
      </w:r>
      <w:r w:rsidRPr="00BF6A66">
        <w:rPr>
          <w:rFonts w:hint="eastAsia"/>
          <w:rtl/>
        </w:rPr>
        <w:t>שהוא</w:t>
      </w:r>
      <w:r w:rsidRPr="00BF6A66">
        <w:rPr>
          <w:rtl/>
        </w:rPr>
        <w:t xml:space="preserve"> </w:t>
      </w:r>
      <w:r w:rsidRPr="00BF6A66">
        <w:rPr>
          <w:rFonts w:hint="eastAsia"/>
          <w:rtl/>
        </w:rPr>
        <w:t>לא</w:t>
      </w:r>
      <w:r w:rsidRPr="00BF6A66">
        <w:rPr>
          <w:rtl/>
        </w:rPr>
        <w:t xml:space="preserve"> </w:t>
      </w:r>
      <w:r w:rsidRPr="00BF6A66">
        <w:rPr>
          <w:rFonts w:hint="eastAsia"/>
          <w:rtl/>
        </w:rPr>
        <w:t>מתמודד</w:t>
      </w:r>
      <w:r w:rsidRPr="00BF6A66">
        <w:rPr>
          <w:rtl/>
        </w:rPr>
        <w:t xml:space="preserve"> </w:t>
      </w:r>
      <w:r w:rsidRPr="00BF6A66">
        <w:rPr>
          <w:rFonts w:hint="eastAsia"/>
          <w:rtl/>
        </w:rPr>
        <w:t>בפעם</w:t>
      </w:r>
      <w:r w:rsidRPr="00BF6A66">
        <w:rPr>
          <w:rtl/>
        </w:rPr>
        <w:t xml:space="preserve"> </w:t>
      </w:r>
      <w:r w:rsidRPr="00BF6A66">
        <w:rPr>
          <w:rFonts w:hint="eastAsia"/>
          <w:rtl/>
        </w:rPr>
        <w:t>הבאה</w:t>
      </w:r>
      <w:r w:rsidRPr="00BF6A66">
        <w:rPr>
          <w:rtl/>
        </w:rPr>
        <w:t xml:space="preserve"> </w:t>
      </w:r>
      <w:r w:rsidRPr="00BF6A66">
        <w:rPr>
          <w:rFonts w:hint="eastAsia"/>
          <w:rtl/>
        </w:rPr>
        <w:t>כדי</w:t>
      </w:r>
      <w:r w:rsidRPr="00BF6A66">
        <w:rPr>
          <w:rtl/>
        </w:rPr>
        <w:t xml:space="preserve"> </w:t>
      </w:r>
      <w:r w:rsidRPr="00BF6A66">
        <w:rPr>
          <w:rFonts w:hint="eastAsia"/>
          <w:rtl/>
        </w:rPr>
        <w:t>שבאמת</w:t>
      </w:r>
      <w:r w:rsidRPr="00BF6A66">
        <w:rPr>
          <w:rtl/>
        </w:rPr>
        <w:t xml:space="preserve"> </w:t>
      </w:r>
      <w:r w:rsidRPr="00BF6A66">
        <w:rPr>
          <w:rFonts w:hint="eastAsia"/>
          <w:rtl/>
        </w:rPr>
        <w:t>יבריא</w:t>
      </w:r>
      <w:r w:rsidRPr="00BF6A66">
        <w:rPr>
          <w:rtl/>
        </w:rPr>
        <w:t xml:space="preserve"> </w:t>
      </w:r>
      <w:r w:rsidRPr="00BF6A66">
        <w:rPr>
          <w:rFonts w:hint="eastAsia"/>
          <w:rtl/>
        </w:rPr>
        <w:t>את</w:t>
      </w:r>
      <w:r w:rsidRPr="00BF6A66">
        <w:rPr>
          <w:rtl/>
        </w:rPr>
        <w:t xml:space="preserve"> </w:t>
      </w:r>
      <w:r w:rsidRPr="00BF6A66">
        <w:rPr>
          <w:rFonts w:hint="eastAsia"/>
          <w:rtl/>
        </w:rPr>
        <w:t>העיר</w:t>
      </w:r>
      <w:r>
        <w:rPr>
          <w:rtl/>
        </w:rPr>
        <w:t>.</w:t>
      </w:r>
      <w:r>
        <w:rPr>
          <w:rFonts w:hint="cs"/>
          <w:rtl/>
        </w:rPr>
        <w:t xml:space="preserve">" (ראו: פרוטוקול ועדת הכנסת מיום 5.6.2023, עמ' 4; ההדגשה הוספה </w:t>
      </w:r>
      <w:r>
        <w:rPr>
          <w:rtl/>
        </w:rPr>
        <w:t>–</w:t>
      </w:r>
      <w:r>
        <w:rPr>
          <w:rFonts w:hint="cs"/>
          <w:rtl/>
        </w:rPr>
        <w:t xml:space="preserve"> א.ש.).</w:t>
      </w:r>
    </w:p>
    <w:p w:rsidR="00553FDC" w:rsidRPr="00BF6A66" w:rsidRDefault="00553FDC" w:rsidP="00553FDC">
      <w:pPr>
        <w:pStyle w:val="Ruller5"/>
        <w:rPr>
          <w:rtl/>
        </w:rPr>
      </w:pPr>
    </w:p>
    <w:p w:rsidR="00553FDC" w:rsidRDefault="00553FDC" w:rsidP="00553FDC">
      <w:pPr>
        <w:pStyle w:val="Ruller4"/>
      </w:pPr>
      <w:r>
        <w:rPr>
          <w:rFonts w:hint="cs"/>
          <w:rtl/>
        </w:rPr>
        <w:t xml:space="preserve">לנוכח דברים אלה, מוכן אני להניח שמר יוסף וחה"כ הלוי פעלו </w:t>
      </w:r>
      <w:r>
        <w:rPr>
          <w:rtl/>
        </w:rPr>
        <w:t>–</w:t>
      </w:r>
      <w:r>
        <w:rPr>
          <w:rFonts w:hint="cs"/>
          <w:rtl/>
        </w:rPr>
        <w:t xml:space="preserve"> וממשיכים לפעול </w:t>
      </w:r>
      <w:r>
        <w:rPr>
          <w:rtl/>
        </w:rPr>
        <w:t>–</w:t>
      </w:r>
      <w:r>
        <w:rPr>
          <w:rFonts w:hint="cs"/>
          <w:rtl/>
        </w:rPr>
        <w:t xml:space="preserve"> למען העיר טבריה ותושביה ושכוונותיהם טהורות. הנחה זו תהא, כפי הנראה, נכונה, אולם היא אינה משנה </w:t>
      </w:r>
      <w:r>
        <w:rPr>
          <w:rtl/>
        </w:rPr>
        <w:t>–</w:t>
      </w:r>
      <w:r>
        <w:rPr>
          <w:rFonts w:hint="cs"/>
          <w:rtl/>
        </w:rPr>
        <w:t xml:space="preserve"> וממילא אינה יכולה לשנות </w:t>
      </w:r>
      <w:r>
        <w:rPr>
          <w:rtl/>
        </w:rPr>
        <w:t>–</w:t>
      </w:r>
      <w:r>
        <w:rPr>
          <w:rFonts w:hint="cs"/>
          <w:rtl/>
        </w:rPr>
        <w:t xml:space="preserve"> את העובדות הבאות: </w:t>
      </w:r>
    </w:p>
    <w:p w:rsidR="00553FDC" w:rsidRDefault="00553FDC" w:rsidP="00553FDC">
      <w:pPr>
        <w:pStyle w:val="Ruller4"/>
        <w:numPr>
          <w:ilvl w:val="0"/>
          <w:numId w:val="0"/>
        </w:numPr>
        <w:rPr>
          <w:rtl/>
        </w:rPr>
      </w:pPr>
    </w:p>
    <w:p w:rsidR="00553FDC" w:rsidRDefault="00553FDC" w:rsidP="00553FDC">
      <w:pPr>
        <w:pStyle w:val="Ruller41"/>
        <w:numPr>
          <w:ilvl w:val="0"/>
          <w:numId w:val="22"/>
        </w:numPr>
      </w:pPr>
      <w:r>
        <w:rPr>
          <w:rFonts w:hint="cs"/>
          <w:rtl/>
        </w:rPr>
        <w:t>המניע שמאחורי החוק המתקן הוא מתן אפשרות למר בועז יוסף להיבחר לתפקיד של ראש העיר טבריה בבחירות הקרובות.</w:t>
      </w:r>
    </w:p>
    <w:p w:rsidR="00553FDC" w:rsidRDefault="00553FDC" w:rsidP="00553FDC">
      <w:pPr>
        <w:pStyle w:val="Ruller41"/>
        <w:ind w:left="1523"/>
      </w:pPr>
    </w:p>
    <w:p w:rsidR="00553FDC" w:rsidRDefault="00553FDC" w:rsidP="00553FDC">
      <w:pPr>
        <w:pStyle w:val="Ruller41"/>
        <w:numPr>
          <w:ilvl w:val="0"/>
          <w:numId w:val="22"/>
        </w:numPr>
      </w:pPr>
      <w:r>
        <w:rPr>
          <w:rFonts w:hint="cs"/>
          <w:rtl/>
        </w:rPr>
        <w:t>תחולתו המיידית של החוק המתקן לא תשנה את מצבו של איש זולת מר בועז יוסף.</w:t>
      </w:r>
    </w:p>
    <w:p w:rsidR="00553FDC" w:rsidRDefault="00553FDC" w:rsidP="00553FDC">
      <w:pPr>
        <w:pStyle w:val="Ruller41"/>
        <w:ind w:left="1523"/>
      </w:pPr>
    </w:p>
    <w:p w:rsidR="00553FDC" w:rsidRDefault="00553FDC" w:rsidP="00553FDC">
      <w:pPr>
        <w:pStyle w:val="Ruller41"/>
        <w:numPr>
          <w:ilvl w:val="0"/>
          <w:numId w:val="22"/>
        </w:numPr>
      </w:pPr>
      <w:r>
        <w:rPr>
          <w:rFonts w:hint="cs"/>
          <w:rtl/>
        </w:rPr>
        <w:t>החוק המתקן אינו שונה אפוא מחוקי ה-</w:t>
      </w:r>
      <w:r w:rsidRPr="00835299">
        <w:rPr>
          <w:rFonts w:asciiTheme="majorBidi" w:hAnsiTheme="majorBidi" w:cstheme="majorBidi"/>
          <w:sz w:val="24"/>
          <w:szCs w:val="32"/>
        </w:rPr>
        <w:t>Tesla</w:t>
      </w:r>
      <w:r>
        <w:rPr>
          <w:rFonts w:hint="cs"/>
          <w:rtl/>
        </w:rPr>
        <w:t xml:space="preserve"> אליהם הפניתי בפתח הדיון בחקיקה פרסונלית. </w:t>
      </w:r>
    </w:p>
    <w:p w:rsidR="00553FDC" w:rsidRPr="001455E9" w:rsidRDefault="00553FDC" w:rsidP="00553FDC">
      <w:pPr>
        <w:pStyle w:val="Ruller41"/>
        <w:rPr>
          <w:rtl/>
        </w:rPr>
      </w:pPr>
    </w:p>
    <w:p w:rsidR="00553FDC" w:rsidRDefault="00553FDC" w:rsidP="00553FDC">
      <w:pPr>
        <w:pStyle w:val="Ruller4"/>
      </w:pPr>
      <w:r>
        <w:rPr>
          <w:rFonts w:hint="cs"/>
          <w:rtl/>
        </w:rPr>
        <w:t xml:space="preserve">אשר על כן, אין מנוס מן המסקנה כי החוק המתקן הוא פרסונלי. חוק זה בא להטיב את מצבו של מר בועז יוסף בהשוואה לכלל אזרחי המדינה שאינם זוכים לקבל מעמד של יקיר המחוקק ולחקיקה פרסונלית שפועלת במתכונת "קח" ומעניקה להם טובות הנאה כאלה או אחרות. נראה שחקיקתו של החוק המתקן לא נגועה במעשים בלתי כשרים, אולם עצם האפשרות לחוקק חוקים כאלה יוצרת, כאמור, כר נרחב לעשיית מעשים שעולים כדי שחיתות שלטונית. </w:t>
      </w:r>
    </w:p>
    <w:p w:rsidR="00553FDC" w:rsidRDefault="00553FDC" w:rsidP="00553FDC">
      <w:pPr>
        <w:pStyle w:val="Ruller4"/>
        <w:numPr>
          <w:ilvl w:val="0"/>
          <w:numId w:val="0"/>
        </w:numPr>
      </w:pPr>
    </w:p>
    <w:p w:rsidR="00553FDC" w:rsidRDefault="00553FDC" w:rsidP="00553FDC">
      <w:pPr>
        <w:pStyle w:val="Ruller4"/>
        <w:rPr>
          <w:rtl/>
        </w:rPr>
      </w:pPr>
      <w:r>
        <w:rPr>
          <w:rFonts w:hint="cs"/>
          <w:rtl/>
        </w:rPr>
        <w:t xml:space="preserve">זאת ועוד. כפי שכבר צויין על ידי, טוהר המידות של האוחזים בשלטון צריך לא רק להתקיים, אלא גם להיראות, וחקיקה פרסונלית אינה מאפשרת זאת, מאחר שהיא </w:t>
      </w:r>
      <w:r w:rsidRPr="003F1CA6">
        <w:rPr>
          <w:rFonts w:ascii="Century" w:hAnsi="Century" w:hint="cs"/>
          <w:sz w:val="22"/>
          <w:rtl/>
        </w:rPr>
        <w:t>יוצרת מראית של "קח ותן", של "שמור לי ואשמור לך" ושל "הנ"ל מאנ"ש". פגיעה במראית פני יושרה השלטונית נמנית עם כשלי החקיקה הפרסונלית לצד הפגיעה החמורה בעיקרון</w:t>
      </w:r>
      <w:r w:rsidRPr="003F1CA6">
        <w:rPr>
          <w:rFonts w:hint="cs"/>
          <w:rtl/>
        </w:rPr>
        <w:t xml:space="preserve"> </w:t>
      </w:r>
      <w:r>
        <w:rPr>
          <w:rFonts w:hint="cs"/>
          <w:rtl/>
        </w:rPr>
        <w:t>השוויון, אשר עולה כדי הפרת סמכותה של הכנסת.</w:t>
      </w:r>
    </w:p>
    <w:p w:rsidR="005860BF" w:rsidRPr="005860BF" w:rsidRDefault="005860BF" w:rsidP="005860BF">
      <w:pPr>
        <w:pStyle w:val="Ruller41"/>
      </w:pPr>
    </w:p>
    <w:p w:rsidR="00553FDC" w:rsidRDefault="00553FDC" w:rsidP="00553FDC">
      <w:pPr>
        <w:pStyle w:val="Ruller4"/>
        <w:rPr>
          <w:rtl/>
        </w:rPr>
      </w:pPr>
      <w:r>
        <w:rPr>
          <w:rFonts w:hint="cs"/>
          <w:rtl/>
        </w:rPr>
        <w:t>חברת הכנסת, עו"ד טלי גוטליב, הטיבה לתאר כשלים אלו בהקשרו של החוק המתקן בהתנגדות שהעלתה לחקיקתו; ואלה היו הדברים שנאמרו על ידה בפני ועדת הכנסת:</w:t>
      </w:r>
    </w:p>
    <w:p w:rsidR="00553FDC" w:rsidRDefault="00553FDC" w:rsidP="00553FDC">
      <w:pPr>
        <w:pStyle w:val="Ruller5"/>
        <w:rPr>
          <w:rtl/>
        </w:rPr>
      </w:pPr>
      <w:r>
        <w:rPr>
          <w:rFonts w:hint="cs"/>
          <w:rtl/>
        </w:rPr>
        <w:t>"</w:t>
      </w:r>
      <w:r>
        <w:rPr>
          <w:rFonts w:hint="eastAsia"/>
          <w:rtl/>
        </w:rPr>
        <w:t>אני</w:t>
      </w:r>
      <w:r>
        <w:rPr>
          <w:rtl/>
        </w:rPr>
        <w:t xml:space="preserve"> </w:t>
      </w:r>
      <w:r>
        <w:rPr>
          <w:rFonts w:hint="eastAsia"/>
          <w:rtl/>
        </w:rPr>
        <w:t>לא</w:t>
      </w:r>
      <w:r>
        <w:rPr>
          <w:rtl/>
        </w:rPr>
        <w:t xml:space="preserve"> </w:t>
      </w:r>
      <w:r>
        <w:rPr>
          <w:rFonts w:hint="eastAsia"/>
          <w:rtl/>
        </w:rPr>
        <w:t>מפתיעה</w:t>
      </w:r>
      <w:r>
        <w:rPr>
          <w:rtl/>
        </w:rPr>
        <w:t xml:space="preserve"> </w:t>
      </w:r>
      <w:r>
        <w:rPr>
          <w:rFonts w:hint="eastAsia"/>
          <w:rtl/>
        </w:rPr>
        <w:t>פה</w:t>
      </w:r>
      <w:r>
        <w:rPr>
          <w:rtl/>
        </w:rPr>
        <w:t xml:space="preserve"> </w:t>
      </w:r>
      <w:r>
        <w:rPr>
          <w:rFonts w:hint="eastAsia"/>
          <w:rtl/>
        </w:rPr>
        <w:t>אף</w:t>
      </w:r>
      <w:r>
        <w:rPr>
          <w:rtl/>
        </w:rPr>
        <w:t xml:space="preserve"> </w:t>
      </w:r>
      <w:r>
        <w:rPr>
          <w:rFonts w:hint="eastAsia"/>
          <w:rtl/>
        </w:rPr>
        <w:t>אחד</w:t>
      </w:r>
      <w:r>
        <w:rPr>
          <w:rtl/>
        </w:rPr>
        <w:t xml:space="preserve">, </w:t>
      </w:r>
      <w:r>
        <w:rPr>
          <w:rFonts w:hint="eastAsia"/>
          <w:rtl/>
        </w:rPr>
        <w:t>דעותיי</w:t>
      </w:r>
      <w:r>
        <w:rPr>
          <w:rtl/>
        </w:rPr>
        <w:t xml:space="preserve"> </w:t>
      </w:r>
      <w:r>
        <w:rPr>
          <w:rFonts w:hint="eastAsia"/>
          <w:rtl/>
        </w:rPr>
        <w:t>ידועות</w:t>
      </w:r>
      <w:r>
        <w:rPr>
          <w:rtl/>
        </w:rPr>
        <w:t xml:space="preserve">. </w:t>
      </w:r>
      <w:r>
        <w:rPr>
          <w:rFonts w:hint="eastAsia"/>
          <w:rtl/>
        </w:rPr>
        <w:t>אני</w:t>
      </w:r>
      <w:r>
        <w:rPr>
          <w:rtl/>
        </w:rPr>
        <w:t xml:space="preserve"> </w:t>
      </w:r>
      <w:r>
        <w:rPr>
          <w:rFonts w:hint="eastAsia"/>
          <w:rtl/>
        </w:rPr>
        <w:t>לא</w:t>
      </w:r>
      <w:r>
        <w:rPr>
          <w:rtl/>
        </w:rPr>
        <w:t xml:space="preserve"> </w:t>
      </w:r>
      <w:r>
        <w:rPr>
          <w:rFonts w:hint="eastAsia"/>
          <w:rtl/>
        </w:rPr>
        <w:t>חושבת</w:t>
      </w:r>
      <w:r>
        <w:rPr>
          <w:rtl/>
        </w:rPr>
        <w:t xml:space="preserve"> </w:t>
      </w:r>
      <w:r>
        <w:rPr>
          <w:rFonts w:hint="eastAsia"/>
          <w:rtl/>
        </w:rPr>
        <w:t>שיש</w:t>
      </w:r>
      <w:r>
        <w:rPr>
          <w:rtl/>
        </w:rPr>
        <w:t xml:space="preserve"> </w:t>
      </w:r>
      <w:r>
        <w:rPr>
          <w:rFonts w:hint="eastAsia"/>
          <w:rtl/>
        </w:rPr>
        <w:t>עוד</w:t>
      </w:r>
      <w:r>
        <w:rPr>
          <w:rtl/>
        </w:rPr>
        <w:t xml:space="preserve"> </w:t>
      </w:r>
      <w:r>
        <w:rPr>
          <w:rFonts w:hint="eastAsia"/>
          <w:rtl/>
        </w:rPr>
        <w:t>הרבה</w:t>
      </w:r>
      <w:r>
        <w:rPr>
          <w:rtl/>
        </w:rPr>
        <w:t xml:space="preserve"> </w:t>
      </w:r>
      <w:r>
        <w:rPr>
          <w:rFonts w:hint="eastAsia"/>
          <w:rtl/>
        </w:rPr>
        <w:t>חברי</w:t>
      </w:r>
      <w:r>
        <w:rPr>
          <w:rtl/>
        </w:rPr>
        <w:t xml:space="preserve"> </w:t>
      </w:r>
      <w:r>
        <w:rPr>
          <w:rFonts w:hint="eastAsia"/>
          <w:rtl/>
        </w:rPr>
        <w:t>כנסת</w:t>
      </w:r>
      <w:r>
        <w:rPr>
          <w:rtl/>
        </w:rPr>
        <w:t xml:space="preserve"> </w:t>
      </w:r>
      <w:r>
        <w:rPr>
          <w:rFonts w:hint="eastAsia"/>
          <w:rtl/>
        </w:rPr>
        <w:t>שמגיעים</w:t>
      </w:r>
      <w:r>
        <w:rPr>
          <w:rtl/>
        </w:rPr>
        <w:t xml:space="preserve"> </w:t>
      </w:r>
      <w:r>
        <w:rPr>
          <w:rFonts w:hint="eastAsia"/>
          <w:rtl/>
        </w:rPr>
        <w:t>לוועדות</w:t>
      </w:r>
      <w:r>
        <w:rPr>
          <w:rtl/>
        </w:rPr>
        <w:t xml:space="preserve"> </w:t>
      </w:r>
      <w:r>
        <w:rPr>
          <w:rFonts w:hint="eastAsia"/>
          <w:rtl/>
        </w:rPr>
        <w:t>כדי</w:t>
      </w:r>
      <w:r>
        <w:rPr>
          <w:rtl/>
        </w:rPr>
        <w:t xml:space="preserve"> </w:t>
      </w:r>
      <w:r>
        <w:rPr>
          <w:rFonts w:hint="eastAsia"/>
          <w:rtl/>
        </w:rPr>
        <w:t>לצאת</w:t>
      </w:r>
      <w:r>
        <w:rPr>
          <w:rtl/>
        </w:rPr>
        <w:t xml:space="preserve"> </w:t>
      </w:r>
      <w:r>
        <w:rPr>
          <w:rFonts w:hint="eastAsia"/>
          <w:rtl/>
        </w:rPr>
        <w:t>נגד</w:t>
      </w:r>
      <w:r>
        <w:rPr>
          <w:rtl/>
        </w:rPr>
        <w:t xml:space="preserve"> </w:t>
      </w:r>
      <w:r>
        <w:rPr>
          <w:rFonts w:hint="eastAsia"/>
          <w:rtl/>
        </w:rPr>
        <w:t>ההצעה</w:t>
      </w:r>
      <w:r>
        <w:rPr>
          <w:rtl/>
        </w:rPr>
        <w:t xml:space="preserve"> </w:t>
      </w:r>
      <w:r>
        <w:rPr>
          <w:rFonts w:hint="eastAsia"/>
          <w:rtl/>
        </w:rPr>
        <w:t>של</w:t>
      </w:r>
      <w:r>
        <w:rPr>
          <w:rtl/>
        </w:rPr>
        <w:t xml:space="preserve"> </w:t>
      </w:r>
      <w:r>
        <w:rPr>
          <w:rFonts w:hint="eastAsia"/>
          <w:rtl/>
        </w:rPr>
        <w:t>חברם</w:t>
      </w:r>
      <w:r>
        <w:rPr>
          <w:rtl/>
        </w:rPr>
        <w:t xml:space="preserve"> </w:t>
      </w:r>
      <w:r>
        <w:rPr>
          <w:rFonts w:hint="eastAsia"/>
          <w:rtl/>
        </w:rPr>
        <w:t>לסיעה</w:t>
      </w:r>
      <w:r>
        <w:rPr>
          <w:rtl/>
        </w:rPr>
        <w:t xml:space="preserve">, </w:t>
      </w:r>
      <w:r>
        <w:rPr>
          <w:rFonts w:hint="eastAsia"/>
          <w:rtl/>
        </w:rPr>
        <w:t>אבל</w:t>
      </w:r>
      <w:r>
        <w:rPr>
          <w:rtl/>
        </w:rPr>
        <w:t xml:space="preserve"> </w:t>
      </w:r>
      <w:r>
        <w:rPr>
          <w:rFonts w:hint="eastAsia"/>
          <w:rtl/>
        </w:rPr>
        <w:t>עם</w:t>
      </w:r>
      <w:r>
        <w:rPr>
          <w:rtl/>
        </w:rPr>
        <w:t xml:space="preserve"> </w:t>
      </w:r>
      <w:r>
        <w:rPr>
          <w:rFonts w:hint="eastAsia"/>
          <w:rtl/>
        </w:rPr>
        <w:t>כל</w:t>
      </w:r>
      <w:r>
        <w:rPr>
          <w:rtl/>
        </w:rPr>
        <w:t xml:space="preserve"> </w:t>
      </w:r>
      <w:r>
        <w:rPr>
          <w:rFonts w:hint="eastAsia"/>
          <w:rtl/>
        </w:rPr>
        <w:t>הכבוד</w:t>
      </w:r>
      <w:r>
        <w:rPr>
          <w:rtl/>
        </w:rPr>
        <w:t xml:space="preserve"> </w:t>
      </w:r>
      <w:r>
        <w:rPr>
          <w:rFonts w:hint="eastAsia"/>
          <w:rtl/>
        </w:rPr>
        <w:t>אני</w:t>
      </w:r>
      <w:r>
        <w:rPr>
          <w:rtl/>
        </w:rPr>
        <w:t xml:space="preserve"> </w:t>
      </w:r>
      <w:r>
        <w:rPr>
          <w:rFonts w:hint="eastAsia"/>
          <w:rtl/>
        </w:rPr>
        <w:t>מחויבת</w:t>
      </w:r>
      <w:r>
        <w:rPr>
          <w:rtl/>
        </w:rPr>
        <w:t xml:space="preserve"> </w:t>
      </w:r>
      <w:r>
        <w:rPr>
          <w:rFonts w:hint="eastAsia"/>
          <w:rtl/>
        </w:rPr>
        <w:t>רק</w:t>
      </w:r>
      <w:r>
        <w:rPr>
          <w:rtl/>
        </w:rPr>
        <w:t xml:space="preserve"> </w:t>
      </w:r>
      <w:r>
        <w:rPr>
          <w:rFonts w:hint="eastAsia"/>
          <w:rtl/>
        </w:rPr>
        <w:t>לעם</w:t>
      </w:r>
      <w:r>
        <w:rPr>
          <w:rtl/>
        </w:rPr>
        <w:t xml:space="preserve"> </w:t>
      </w:r>
      <w:r>
        <w:rPr>
          <w:rFonts w:hint="eastAsia"/>
          <w:rtl/>
        </w:rPr>
        <w:t>ישראל</w:t>
      </w:r>
      <w:r>
        <w:rPr>
          <w:rtl/>
        </w:rPr>
        <w:t xml:space="preserve">. </w:t>
      </w:r>
      <w:r>
        <w:rPr>
          <w:rFonts w:hint="eastAsia"/>
          <w:rtl/>
        </w:rPr>
        <w:t>התרעתי</w:t>
      </w:r>
      <w:r>
        <w:rPr>
          <w:rtl/>
        </w:rPr>
        <w:t xml:space="preserve"> </w:t>
      </w:r>
      <w:r>
        <w:rPr>
          <w:rFonts w:hint="eastAsia"/>
          <w:rtl/>
        </w:rPr>
        <w:t>כמה</w:t>
      </w:r>
      <w:r>
        <w:rPr>
          <w:rtl/>
        </w:rPr>
        <w:t xml:space="preserve"> </w:t>
      </w:r>
      <w:r>
        <w:rPr>
          <w:rFonts w:hint="eastAsia"/>
          <w:rtl/>
        </w:rPr>
        <w:t>וכמה</w:t>
      </w:r>
      <w:r>
        <w:rPr>
          <w:rtl/>
        </w:rPr>
        <w:t xml:space="preserve"> </w:t>
      </w:r>
      <w:r>
        <w:rPr>
          <w:rFonts w:hint="eastAsia"/>
          <w:rtl/>
        </w:rPr>
        <w:t>פעמים</w:t>
      </w:r>
      <w:r>
        <w:rPr>
          <w:rtl/>
        </w:rPr>
        <w:t xml:space="preserve"> </w:t>
      </w:r>
      <w:r>
        <w:rPr>
          <w:rFonts w:hint="eastAsia"/>
          <w:rtl/>
        </w:rPr>
        <w:lastRenderedPageBreak/>
        <w:t>גם</w:t>
      </w:r>
      <w:r>
        <w:rPr>
          <w:rtl/>
        </w:rPr>
        <w:t xml:space="preserve"> </w:t>
      </w:r>
      <w:r>
        <w:rPr>
          <w:rFonts w:hint="eastAsia"/>
          <w:rtl/>
        </w:rPr>
        <w:t>בסיעה</w:t>
      </w:r>
      <w:r>
        <w:rPr>
          <w:rtl/>
        </w:rPr>
        <w:t xml:space="preserve"> </w:t>
      </w:r>
      <w:r>
        <w:rPr>
          <w:rFonts w:hint="eastAsia"/>
          <w:rtl/>
        </w:rPr>
        <w:t>שלי</w:t>
      </w:r>
      <w:r>
        <w:rPr>
          <w:rtl/>
        </w:rPr>
        <w:t xml:space="preserve">, </w:t>
      </w:r>
      <w:r>
        <w:rPr>
          <w:rFonts w:hint="eastAsia"/>
          <w:rtl/>
        </w:rPr>
        <w:t>גם</w:t>
      </w:r>
      <w:r>
        <w:rPr>
          <w:rtl/>
        </w:rPr>
        <w:t xml:space="preserve"> </w:t>
      </w:r>
      <w:r>
        <w:rPr>
          <w:rFonts w:hint="eastAsia"/>
          <w:rtl/>
        </w:rPr>
        <w:t>בקבוצות</w:t>
      </w:r>
      <w:r>
        <w:rPr>
          <w:rtl/>
        </w:rPr>
        <w:t xml:space="preserve"> </w:t>
      </w:r>
      <w:r>
        <w:rPr>
          <w:rFonts w:hint="eastAsia"/>
          <w:rtl/>
        </w:rPr>
        <w:t>הווטסאפ</w:t>
      </w:r>
      <w:r>
        <w:rPr>
          <w:rtl/>
        </w:rPr>
        <w:t xml:space="preserve">, </w:t>
      </w:r>
      <w:r>
        <w:rPr>
          <w:rFonts w:hint="eastAsia"/>
          <w:rtl/>
        </w:rPr>
        <w:t>גם</w:t>
      </w:r>
      <w:r>
        <w:rPr>
          <w:rtl/>
        </w:rPr>
        <w:t xml:space="preserve"> </w:t>
      </w:r>
      <w:r>
        <w:rPr>
          <w:rFonts w:hint="eastAsia"/>
          <w:rtl/>
        </w:rPr>
        <w:t>ברשתות</w:t>
      </w:r>
      <w:r>
        <w:rPr>
          <w:rtl/>
        </w:rPr>
        <w:t xml:space="preserve"> </w:t>
      </w:r>
      <w:r>
        <w:rPr>
          <w:rFonts w:hint="eastAsia"/>
          <w:rtl/>
        </w:rPr>
        <w:t>החברתיות</w:t>
      </w:r>
      <w:r>
        <w:rPr>
          <w:rtl/>
        </w:rPr>
        <w:t xml:space="preserve"> </w:t>
      </w:r>
      <w:r>
        <w:rPr>
          <w:rFonts w:hint="eastAsia"/>
          <w:rtl/>
        </w:rPr>
        <w:t>שאני</w:t>
      </w:r>
      <w:r>
        <w:rPr>
          <w:rtl/>
        </w:rPr>
        <w:t xml:space="preserve"> </w:t>
      </w:r>
      <w:r>
        <w:rPr>
          <w:rFonts w:hint="eastAsia"/>
          <w:rtl/>
        </w:rPr>
        <w:t>לא</w:t>
      </w:r>
      <w:r>
        <w:rPr>
          <w:rtl/>
        </w:rPr>
        <w:t xml:space="preserve"> </w:t>
      </w:r>
      <w:r>
        <w:rPr>
          <w:rFonts w:hint="eastAsia"/>
          <w:rtl/>
        </w:rPr>
        <w:t>מוכנה</w:t>
      </w:r>
      <w:r>
        <w:rPr>
          <w:rtl/>
        </w:rPr>
        <w:t xml:space="preserve"> </w:t>
      </w:r>
      <w:r>
        <w:rPr>
          <w:rFonts w:hint="eastAsia"/>
          <w:rtl/>
        </w:rPr>
        <w:t>לקבל</w:t>
      </w:r>
      <w:r>
        <w:rPr>
          <w:rtl/>
        </w:rPr>
        <w:t xml:space="preserve"> </w:t>
      </w:r>
      <w:r w:rsidRPr="005E6230">
        <w:rPr>
          <w:rFonts w:ascii="Century" w:hAnsi="Century" w:cs="Miriam" w:hint="eastAsia"/>
          <w:b/>
          <w:spacing w:val="0"/>
          <w:szCs w:val="24"/>
          <w:rtl/>
        </w:rPr>
        <w:t>הצעת</w:t>
      </w:r>
      <w:r w:rsidRPr="005E6230">
        <w:rPr>
          <w:rFonts w:ascii="Century" w:hAnsi="Century" w:cs="Miriam"/>
          <w:b/>
          <w:spacing w:val="0"/>
          <w:szCs w:val="24"/>
          <w:rtl/>
        </w:rPr>
        <w:t xml:space="preserve"> </w:t>
      </w:r>
      <w:r w:rsidRPr="005E6230">
        <w:rPr>
          <w:rFonts w:ascii="Century" w:hAnsi="Century" w:cs="Miriam" w:hint="eastAsia"/>
          <w:b/>
          <w:spacing w:val="0"/>
          <w:szCs w:val="24"/>
          <w:rtl/>
        </w:rPr>
        <w:t>חוק</w:t>
      </w:r>
      <w:r w:rsidRPr="005E6230">
        <w:rPr>
          <w:rFonts w:ascii="Century" w:hAnsi="Century" w:cs="Miriam"/>
          <w:b/>
          <w:spacing w:val="0"/>
          <w:szCs w:val="24"/>
          <w:rtl/>
        </w:rPr>
        <w:t xml:space="preserve"> </w:t>
      </w:r>
      <w:r w:rsidRPr="005E6230">
        <w:rPr>
          <w:rFonts w:ascii="Century" w:hAnsi="Century" w:cs="Miriam" w:hint="eastAsia"/>
          <w:b/>
          <w:spacing w:val="0"/>
          <w:szCs w:val="24"/>
          <w:rtl/>
        </w:rPr>
        <w:t>שערורייתית</w:t>
      </w:r>
      <w:r w:rsidRPr="005E6230">
        <w:rPr>
          <w:rFonts w:ascii="Century" w:hAnsi="Century" w:cs="Miriam"/>
          <w:b/>
          <w:spacing w:val="0"/>
          <w:szCs w:val="24"/>
          <w:rtl/>
        </w:rPr>
        <w:t xml:space="preserve">, </w:t>
      </w:r>
      <w:r w:rsidRPr="005E6230">
        <w:rPr>
          <w:rFonts w:ascii="Century" w:hAnsi="Century" w:cs="Miriam" w:hint="eastAsia"/>
          <w:b/>
          <w:spacing w:val="0"/>
          <w:szCs w:val="24"/>
          <w:rtl/>
        </w:rPr>
        <w:t>מסוכנת</w:t>
      </w:r>
      <w:r w:rsidRPr="005E6230">
        <w:rPr>
          <w:rFonts w:ascii="Century" w:hAnsi="Century" w:cs="Miriam"/>
          <w:b/>
          <w:spacing w:val="0"/>
          <w:szCs w:val="24"/>
          <w:rtl/>
        </w:rPr>
        <w:t xml:space="preserve"> </w:t>
      </w:r>
      <w:r w:rsidRPr="005E6230">
        <w:rPr>
          <w:rFonts w:ascii="Century" w:hAnsi="Century" w:cs="Miriam" w:hint="eastAsia"/>
          <w:b/>
          <w:spacing w:val="0"/>
          <w:szCs w:val="24"/>
          <w:rtl/>
        </w:rPr>
        <w:t>מאוד</w:t>
      </w:r>
      <w:r w:rsidRPr="005E6230">
        <w:rPr>
          <w:rFonts w:ascii="Century" w:hAnsi="Century" w:cs="Miriam"/>
          <w:b/>
          <w:spacing w:val="0"/>
          <w:szCs w:val="24"/>
          <w:rtl/>
        </w:rPr>
        <w:t xml:space="preserve"> </w:t>
      </w:r>
      <w:r w:rsidRPr="005E6230">
        <w:rPr>
          <w:rFonts w:ascii="Century" w:hAnsi="Century" w:cs="Miriam" w:hint="eastAsia"/>
          <w:b/>
          <w:spacing w:val="0"/>
          <w:szCs w:val="24"/>
          <w:rtl/>
        </w:rPr>
        <w:t>שעולה</w:t>
      </w:r>
      <w:r w:rsidRPr="005E6230">
        <w:rPr>
          <w:rFonts w:ascii="Century" w:hAnsi="Century" w:cs="Miriam"/>
          <w:b/>
          <w:spacing w:val="0"/>
          <w:szCs w:val="24"/>
          <w:rtl/>
        </w:rPr>
        <w:t xml:space="preserve"> </w:t>
      </w:r>
      <w:r w:rsidRPr="005E6230">
        <w:rPr>
          <w:rFonts w:ascii="Century" w:hAnsi="Century" w:cs="Miriam" w:hint="eastAsia"/>
          <w:b/>
          <w:spacing w:val="0"/>
          <w:szCs w:val="24"/>
          <w:rtl/>
        </w:rPr>
        <w:t>חלילה</w:t>
      </w:r>
      <w:r w:rsidRPr="005E6230">
        <w:rPr>
          <w:rFonts w:ascii="Century" w:hAnsi="Century" w:cs="Miriam"/>
          <w:b/>
          <w:spacing w:val="0"/>
          <w:szCs w:val="24"/>
          <w:rtl/>
        </w:rPr>
        <w:t xml:space="preserve"> </w:t>
      </w:r>
      <w:r w:rsidRPr="005E6230">
        <w:rPr>
          <w:rFonts w:ascii="Century" w:hAnsi="Century" w:cs="Miriam" w:hint="eastAsia"/>
          <w:b/>
          <w:spacing w:val="0"/>
          <w:szCs w:val="24"/>
          <w:rtl/>
        </w:rPr>
        <w:t>כדי</w:t>
      </w:r>
      <w:r w:rsidRPr="005E6230">
        <w:rPr>
          <w:rFonts w:ascii="Century" w:hAnsi="Century" w:cs="Miriam"/>
          <w:b/>
          <w:spacing w:val="0"/>
          <w:szCs w:val="24"/>
          <w:rtl/>
        </w:rPr>
        <w:t xml:space="preserve"> </w:t>
      </w:r>
      <w:r w:rsidRPr="005E6230">
        <w:rPr>
          <w:rFonts w:ascii="Century" w:hAnsi="Century" w:cs="Miriam" w:hint="eastAsia"/>
          <w:b/>
          <w:spacing w:val="0"/>
          <w:szCs w:val="24"/>
          <w:rtl/>
        </w:rPr>
        <w:t>טובת</w:t>
      </w:r>
      <w:r w:rsidRPr="005E6230">
        <w:rPr>
          <w:rFonts w:ascii="Century" w:hAnsi="Century" w:cs="Miriam"/>
          <w:b/>
          <w:spacing w:val="0"/>
          <w:szCs w:val="24"/>
          <w:rtl/>
        </w:rPr>
        <w:t xml:space="preserve"> </w:t>
      </w:r>
      <w:r w:rsidRPr="005E6230">
        <w:rPr>
          <w:rFonts w:ascii="Century" w:hAnsi="Century" w:cs="Miriam" w:hint="eastAsia"/>
          <w:b/>
          <w:spacing w:val="0"/>
          <w:szCs w:val="24"/>
          <w:rtl/>
        </w:rPr>
        <w:t>הנאה</w:t>
      </w:r>
      <w:r w:rsidRPr="005E6230">
        <w:rPr>
          <w:rFonts w:ascii="Century" w:hAnsi="Century" w:cs="Miriam"/>
          <w:b/>
          <w:spacing w:val="0"/>
          <w:szCs w:val="24"/>
          <w:rtl/>
        </w:rPr>
        <w:t xml:space="preserve"> </w:t>
      </w:r>
      <w:r w:rsidRPr="005E6230">
        <w:rPr>
          <w:rFonts w:ascii="Century" w:hAnsi="Century" w:cs="Miriam" w:hint="eastAsia"/>
          <w:b/>
          <w:spacing w:val="0"/>
          <w:szCs w:val="24"/>
          <w:rtl/>
        </w:rPr>
        <w:t>רגולטורית</w:t>
      </w:r>
      <w:r>
        <w:rPr>
          <w:rtl/>
        </w:rPr>
        <w:t xml:space="preserve"> </w:t>
      </w:r>
      <w:r>
        <w:rPr>
          <w:rFonts w:hint="eastAsia"/>
          <w:rtl/>
        </w:rPr>
        <w:t>שהיא</w:t>
      </w:r>
      <w:r>
        <w:rPr>
          <w:rtl/>
        </w:rPr>
        <w:t xml:space="preserve"> </w:t>
      </w:r>
      <w:r>
        <w:rPr>
          <w:rFonts w:hint="eastAsia"/>
          <w:rtl/>
        </w:rPr>
        <w:t>חלק</w:t>
      </w:r>
      <w:r>
        <w:rPr>
          <w:rtl/>
        </w:rPr>
        <w:t xml:space="preserve"> </w:t>
      </w:r>
      <w:r>
        <w:rPr>
          <w:rFonts w:hint="eastAsia"/>
          <w:rtl/>
        </w:rPr>
        <w:t>מיסוד</w:t>
      </w:r>
      <w:r>
        <w:rPr>
          <w:rtl/>
        </w:rPr>
        <w:t xml:space="preserve"> </w:t>
      </w:r>
      <w:r>
        <w:rPr>
          <w:rFonts w:hint="eastAsia"/>
          <w:rtl/>
        </w:rPr>
        <w:t>עובדתי</w:t>
      </w:r>
      <w:r>
        <w:rPr>
          <w:rtl/>
        </w:rPr>
        <w:t xml:space="preserve"> </w:t>
      </w:r>
      <w:r>
        <w:rPr>
          <w:rFonts w:hint="eastAsia"/>
          <w:rtl/>
        </w:rPr>
        <w:t>של</w:t>
      </w:r>
      <w:r>
        <w:rPr>
          <w:rtl/>
        </w:rPr>
        <w:t xml:space="preserve"> </w:t>
      </w:r>
      <w:r>
        <w:rPr>
          <w:rFonts w:hint="eastAsia"/>
          <w:rtl/>
        </w:rPr>
        <w:t>עבירה</w:t>
      </w:r>
      <w:r>
        <w:rPr>
          <w:rtl/>
        </w:rPr>
        <w:t xml:space="preserve"> </w:t>
      </w:r>
      <w:r>
        <w:rPr>
          <w:rFonts w:hint="eastAsia"/>
          <w:rtl/>
        </w:rPr>
        <w:t>פלילית</w:t>
      </w:r>
      <w:r>
        <w:rPr>
          <w:rtl/>
        </w:rPr>
        <w:t xml:space="preserve"> </w:t>
      </w:r>
      <w:r>
        <w:rPr>
          <w:rFonts w:hint="eastAsia"/>
          <w:rtl/>
        </w:rPr>
        <w:t>באשר</w:t>
      </w:r>
      <w:r>
        <w:rPr>
          <w:rtl/>
        </w:rPr>
        <w:t xml:space="preserve"> </w:t>
      </w:r>
      <w:r>
        <w:rPr>
          <w:rFonts w:hint="eastAsia"/>
          <w:rtl/>
        </w:rPr>
        <w:t>היא</w:t>
      </w:r>
      <w:r>
        <w:rPr>
          <w:rtl/>
        </w:rPr>
        <w:t xml:space="preserve">, </w:t>
      </w:r>
      <w:r>
        <w:rPr>
          <w:rFonts w:hint="eastAsia"/>
          <w:rtl/>
        </w:rPr>
        <w:t>על</w:t>
      </w:r>
      <w:r>
        <w:rPr>
          <w:rtl/>
        </w:rPr>
        <w:t xml:space="preserve"> </w:t>
      </w:r>
      <w:r>
        <w:rPr>
          <w:rFonts w:hint="eastAsia"/>
          <w:rtl/>
        </w:rPr>
        <w:t>גבול</w:t>
      </w:r>
      <w:r>
        <w:rPr>
          <w:rtl/>
        </w:rPr>
        <w:t xml:space="preserve"> </w:t>
      </w:r>
      <w:r>
        <w:rPr>
          <w:rFonts w:hint="eastAsia"/>
          <w:rtl/>
        </w:rPr>
        <w:t>עבירות</w:t>
      </w:r>
      <w:r>
        <w:rPr>
          <w:rtl/>
        </w:rPr>
        <w:t xml:space="preserve"> </w:t>
      </w:r>
      <w:r>
        <w:rPr>
          <w:rFonts w:hint="eastAsia"/>
          <w:rtl/>
        </w:rPr>
        <w:t>טוהר</w:t>
      </w:r>
      <w:r>
        <w:rPr>
          <w:rtl/>
        </w:rPr>
        <w:t xml:space="preserve"> </w:t>
      </w:r>
      <w:r>
        <w:rPr>
          <w:rFonts w:hint="eastAsia"/>
          <w:rtl/>
        </w:rPr>
        <w:t>המידות</w:t>
      </w:r>
      <w:r>
        <w:rPr>
          <w:rtl/>
        </w:rPr>
        <w:t xml:space="preserve"> </w:t>
      </w:r>
      <w:r>
        <w:rPr>
          <w:rFonts w:hint="eastAsia"/>
          <w:rtl/>
        </w:rPr>
        <w:t>שקיימות</w:t>
      </w:r>
      <w:r>
        <w:rPr>
          <w:rtl/>
        </w:rPr>
        <w:t xml:space="preserve"> </w:t>
      </w:r>
      <w:r>
        <w:rPr>
          <w:rFonts w:hint="eastAsia"/>
          <w:rtl/>
        </w:rPr>
        <w:t>בספר</w:t>
      </w:r>
      <w:r>
        <w:rPr>
          <w:rtl/>
        </w:rPr>
        <w:t xml:space="preserve"> </w:t>
      </w:r>
      <w:r>
        <w:rPr>
          <w:rFonts w:hint="eastAsia"/>
          <w:rtl/>
        </w:rPr>
        <w:t>החוקים</w:t>
      </w:r>
      <w:r>
        <w:rPr>
          <w:rtl/>
        </w:rPr>
        <w:t xml:space="preserve">. </w:t>
      </w:r>
      <w:r>
        <w:rPr>
          <w:rFonts w:hint="eastAsia"/>
          <w:rtl/>
        </w:rPr>
        <w:t>אתם</w:t>
      </w:r>
      <w:r>
        <w:rPr>
          <w:rtl/>
        </w:rPr>
        <w:t xml:space="preserve"> </w:t>
      </w:r>
      <w:r>
        <w:rPr>
          <w:rFonts w:hint="eastAsia"/>
          <w:rtl/>
        </w:rPr>
        <w:t>נמצאים</w:t>
      </w:r>
      <w:r>
        <w:rPr>
          <w:rtl/>
        </w:rPr>
        <w:t xml:space="preserve"> </w:t>
      </w:r>
      <w:r>
        <w:rPr>
          <w:rFonts w:hint="eastAsia"/>
          <w:rtl/>
        </w:rPr>
        <w:t>כאן</w:t>
      </w:r>
      <w:r>
        <w:rPr>
          <w:rtl/>
        </w:rPr>
        <w:t xml:space="preserve"> </w:t>
      </w:r>
      <w:r>
        <w:rPr>
          <w:rFonts w:hint="eastAsia"/>
          <w:rtl/>
        </w:rPr>
        <w:t>בוועדה</w:t>
      </w:r>
      <w:r>
        <w:rPr>
          <w:rtl/>
        </w:rPr>
        <w:t xml:space="preserve"> </w:t>
      </w:r>
      <w:r>
        <w:rPr>
          <w:rFonts w:hint="eastAsia"/>
          <w:rtl/>
        </w:rPr>
        <w:t>שיש</w:t>
      </w:r>
      <w:r>
        <w:rPr>
          <w:rtl/>
        </w:rPr>
        <w:t xml:space="preserve"> </w:t>
      </w:r>
      <w:r>
        <w:rPr>
          <w:rFonts w:hint="eastAsia"/>
          <w:rtl/>
        </w:rPr>
        <w:t>לה</w:t>
      </w:r>
      <w:r>
        <w:rPr>
          <w:rtl/>
        </w:rPr>
        <w:t xml:space="preserve"> </w:t>
      </w:r>
      <w:r>
        <w:rPr>
          <w:rFonts w:hint="eastAsia"/>
          <w:rtl/>
        </w:rPr>
        <w:t>כוח</w:t>
      </w:r>
      <w:r>
        <w:rPr>
          <w:rtl/>
        </w:rPr>
        <w:t xml:space="preserve"> </w:t>
      </w:r>
      <w:r>
        <w:rPr>
          <w:rFonts w:hint="eastAsia"/>
          <w:rtl/>
        </w:rPr>
        <w:t>לקצר</w:t>
      </w:r>
      <w:r>
        <w:rPr>
          <w:rtl/>
        </w:rPr>
        <w:t xml:space="preserve"> </w:t>
      </w:r>
      <w:r>
        <w:rPr>
          <w:rFonts w:hint="eastAsia"/>
          <w:rtl/>
        </w:rPr>
        <w:t>הליכים</w:t>
      </w:r>
      <w:r>
        <w:rPr>
          <w:rtl/>
        </w:rPr>
        <w:t xml:space="preserve">. </w:t>
      </w:r>
      <w:r>
        <w:rPr>
          <w:rFonts w:hint="eastAsia"/>
          <w:rtl/>
        </w:rPr>
        <w:t>לעשות</w:t>
      </w:r>
      <w:r>
        <w:rPr>
          <w:rtl/>
        </w:rPr>
        <w:t xml:space="preserve"> </w:t>
      </w:r>
      <w:r>
        <w:rPr>
          <w:rFonts w:hint="eastAsia"/>
          <w:rtl/>
        </w:rPr>
        <w:t>שימוש</w:t>
      </w:r>
      <w:r>
        <w:rPr>
          <w:rtl/>
        </w:rPr>
        <w:t xml:space="preserve"> </w:t>
      </w:r>
      <w:r>
        <w:rPr>
          <w:rFonts w:hint="eastAsia"/>
          <w:rtl/>
        </w:rPr>
        <w:t>בסמכות</w:t>
      </w:r>
      <w:r>
        <w:rPr>
          <w:rtl/>
        </w:rPr>
        <w:t xml:space="preserve"> </w:t>
      </w:r>
      <w:r>
        <w:rPr>
          <w:rFonts w:hint="eastAsia"/>
          <w:rtl/>
        </w:rPr>
        <w:t>צריך</w:t>
      </w:r>
      <w:r>
        <w:rPr>
          <w:rtl/>
        </w:rPr>
        <w:t xml:space="preserve"> </w:t>
      </w:r>
      <w:r>
        <w:rPr>
          <w:rFonts w:hint="eastAsia"/>
          <w:rtl/>
        </w:rPr>
        <w:t>לעשות</w:t>
      </w:r>
      <w:r>
        <w:rPr>
          <w:rtl/>
        </w:rPr>
        <w:t xml:space="preserve"> </w:t>
      </w:r>
      <w:r>
        <w:rPr>
          <w:rFonts w:hint="eastAsia"/>
          <w:rtl/>
        </w:rPr>
        <w:t>בידיים</w:t>
      </w:r>
      <w:r>
        <w:rPr>
          <w:rtl/>
        </w:rPr>
        <w:t xml:space="preserve"> </w:t>
      </w:r>
      <w:r>
        <w:rPr>
          <w:rFonts w:hint="eastAsia"/>
          <w:rtl/>
        </w:rPr>
        <w:t>סופר</w:t>
      </w:r>
      <w:r>
        <w:rPr>
          <w:rtl/>
        </w:rPr>
        <w:t xml:space="preserve"> </w:t>
      </w:r>
      <w:r>
        <w:rPr>
          <w:rFonts w:hint="eastAsia"/>
          <w:rtl/>
        </w:rPr>
        <w:t>נקיות</w:t>
      </w:r>
      <w:r>
        <w:rPr>
          <w:rtl/>
        </w:rPr>
        <w:t xml:space="preserve">. </w:t>
      </w:r>
      <w:r>
        <w:rPr>
          <w:rFonts w:hint="eastAsia"/>
          <w:rtl/>
        </w:rPr>
        <w:t>שמעתי</w:t>
      </w:r>
      <w:r>
        <w:rPr>
          <w:rtl/>
        </w:rPr>
        <w:t xml:space="preserve"> </w:t>
      </w:r>
      <w:r>
        <w:rPr>
          <w:rFonts w:hint="eastAsia"/>
          <w:rtl/>
        </w:rPr>
        <w:t>גם</w:t>
      </w:r>
      <w:r>
        <w:rPr>
          <w:rtl/>
        </w:rPr>
        <w:t xml:space="preserve"> </w:t>
      </w:r>
      <w:r>
        <w:rPr>
          <w:rFonts w:hint="eastAsia"/>
          <w:rtl/>
        </w:rPr>
        <w:t>שמעתי</w:t>
      </w:r>
      <w:r>
        <w:rPr>
          <w:rtl/>
        </w:rPr>
        <w:t xml:space="preserve"> </w:t>
      </w:r>
      <w:r>
        <w:rPr>
          <w:rFonts w:hint="eastAsia"/>
          <w:rtl/>
        </w:rPr>
        <w:t>שעורך</w:t>
      </w:r>
      <w:r>
        <w:rPr>
          <w:rtl/>
        </w:rPr>
        <w:t xml:space="preserve"> </w:t>
      </w:r>
      <w:r>
        <w:rPr>
          <w:rFonts w:hint="eastAsia"/>
          <w:rtl/>
        </w:rPr>
        <w:t>דין</w:t>
      </w:r>
      <w:r>
        <w:rPr>
          <w:rtl/>
        </w:rPr>
        <w:t xml:space="preserve"> </w:t>
      </w:r>
      <w:r>
        <w:rPr>
          <w:rFonts w:hint="eastAsia"/>
          <w:rtl/>
        </w:rPr>
        <w:t>עמית</w:t>
      </w:r>
      <w:r>
        <w:rPr>
          <w:rtl/>
        </w:rPr>
        <w:t xml:space="preserve"> </w:t>
      </w:r>
      <w:r>
        <w:rPr>
          <w:rFonts w:hint="eastAsia"/>
          <w:rtl/>
        </w:rPr>
        <w:t>הלוי</w:t>
      </w:r>
      <w:r>
        <w:rPr>
          <w:rtl/>
        </w:rPr>
        <w:t xml:space="preserve"> </w:t>
      </w:r>
      <w:r>
        <w:rPr>
          <w:rFonts w:hint="eastAsia"/>
          <w:rtl/>
        </w:rPr>
        <w:t>אמר</w:t>
      </w:r>
      <w:r>
        <w:rPr>
          <w:rtl/>
        </w:rPr>
        <w:t xml:space="preserve"> </w:t>
      </w:r>
      <w:r>
        <w:rPr>
          <w:rFonts w:hint="eastAsia"/>
          <w:rtl/>
        </w:rPr>
        <w:t>שהוא</w:t>
      </w:r>
      <w:r>
        <w:rPr>
          <w:rtl/>
        </w:rPr>
        <w:t xml:space="preserve"> </w:t>
      </w:r>
      <w:r>
        <w:rPr>
          <w:rFonts w:hint="eastAsia"/>
          <w:rtl/>
        </w:rPr>
        <w:t>הסתובב</w:t>
      </w:r>
      <w:r>
        <w:rPr>
          <w:rtl/>
        </w:rPr>
        <w:t xml:space="preserve"> </w:t>
      </w:r>
      <w:r>
        <w:rPr>
          <w:rFonts w:hint="eastAsia"/>
          <w:rtl/>
        </w:rPr>
        <w:t>ברחובות</w:t>
      </w:r>
      <w:r>
        <w:rPr>
          <w:rtl/>
        </w:rPr>
        <w:t xml:space="preserve"> </w:t>
      </w:r>
      <w:r>
        <w:rPr>
          <w:rFonts w:hint="eastAsia"/>
          <w:rtl/>
        </w:rPr>
        <w:t>טבריה</w:t>
      </w:r>
      <w:r>
        <w:rPr>
          <w:rtl/>
        </w:rPr>
        <w:t xml:space="preserve"> </w:t>
      </w:r>
      <w:r>
        <w:rPr>
          <w:rFonts w:hint="eastAsia"/>
          <w:rtl/>
        </w:rPr>
        <w:t>והתבקש</w:t>
      </w:r>
      <w:r>
        <w:rPr>
          <w:rtl/>
        </w:rPr>
        <w:t xml:space="preserve"> </w:t>
      </w:r>
      <w:r>
        <w:rPr>
          <w:rFonts w:hint="eastAsia"/>
          <w:rtl/>
        </w:rPr>
        <w:t>להגיש</w:t>
      </w:r>
      <w:r>
        <w:rPr>
          <w:rtl/>
        </w:rPr>
        <w:t xml:space="preserve"> </w:t>
      </w:r>
      <w:r>
        <w:rPr>
          <w:rFonts w:hint="eastAsia"/>
          <w:rtl/>
        </w:rPr>
        <w:t>את</w:t>
      </w:r>
      <w:r>
        <w:rPr>
          <w:rtl/>
        </w:rPr>
        <w:t xml:space="preserve"> </w:t>
      </w:r>
      <w:r>
        <w:rPr>
          <w:rFonts w:hint="eastAsia"/>
          <w:rtl/>
        </w:rPr>
        <w:t>הצעת</w:t>
      </w:r>
      <w:r>
        <w:rPr>
          <w:rtl/>
        </w:rPr>
        <w:t xml:space="preserve"> </w:t>
      </w:r>
      <w:r>
        <w:rPr>
          <w:rFonts w:hint="eastAsia"/>
          <w:rtl/>
        </w:rPr>
        <w:t>החוק</w:t>
      </w:r>
      <w:r>
        <w:rPr>
          <w:rtl/>
        </w:rPr>
        <w:t xml:space="preserve"> </w:t>
      </w:r>
      <w:r>
        <w:rPr>
          <w:rFonts w:hint="eastAsia"/>
          <w:rtl/>
        </w:rPr>
        <w:t>הזאת</w:t>
      </w:r>
      <w:r>
        <w:rPr>
          <w:rtl/>
        </w:rPr>
        <w:t xml:space="preserve"> </w:t>
      </w:r>
      <w:r>
        <w:rPr>
          <w:rFonts w:hint="eastAsia"/>
          <w:rtl/>
        </w:rPr>
        <w:t>לבקשתם</w:t>
      </w:r>
      <w:r>
        <w:rPr>
          <w:rtl/>
        </w:rPr>
        <w:t xml:space="preserve"> </w:t>
      </w:r>
      <w:r>
        <w:rPr>
          <w:rFonts w:hint="eastAsia"/>
          <w:rtl/>
        </w:rPr>
        <w:t>של</w:t>
      </w:r>
      <w:r>
        <w:rPr>
          <w:rtl/>
        </w:rPr>
        <w:t xml:space="preserve"> </w:t>
      </w:r>
      <w:r>
        <w:rPr>
          <w:rFonts w:hint="eastAsia"/>
          <w:rtl/>
        </w:rPr>
        <w:t>אזרחים</w:t>
      </w:r>
      <w:r>
        <w:rPr>
          <w:rtl/>
        </w:rPr>
        <w:t xml:space="preserve"> </w:t>
      </w:r>
      <w:r>
        <w:rPr>
          <w:rFonts w:hint="eastAsia"/>
          <w:rtl/>
        </w:rPr>
        <w:t>בטבריה</w:t>
      </w:r>
      <w:r>
        <w:rPr>
          <w:rtl/>
        </w:rPr>
        <w:t xml:space="preserve">. </w:t>
      </w:r>
      <w:r>
        <w:rPr>
          <w:rFonts w:hint="eastAsia"/>
          <w:rtl/>
        </w:rPr>
        <w:t>אני</w:t>
      </w:r>
      <w:r>
        <w:rPr>
          <w:rtl/>
        </w:rPr>
        <w:t xml:space="preserve"> </w:t>
      </w:r>
      <w:r>
        <w:rPr>
          <w:rFonts w:hint="eastAsia"/>
          <w:rtl/>
        </w:rPr>
        <w:t>לא</w:t>
      </w:r>
      <w:r>
        <w:rPr>
          <w:rtl/>
        </w:rPr>
        <w:t xml:space="preserve"> </w:t>
      </w:r>
      <w:r>
        <w:rPr>
          <w:rFonts w:hint="eastAsia"/>
          <w:rtl/>
        </w:rPr>
        <w:t>קונה</w:t>
      </w:r>
      <w:r>
        <w:rPr>
          <w:rtl/>
        </w:rPr>
        <w:t xml:space="preserve"> </w:t>
      </w:r>
      <w:r>
        <w:rPr>
          <w:rFonts w:hint="eastAsia"/>
          <w:rtl/>
        </w:rPr>
        <w:t>את</w:t>
      </w:r>
      <w:r>
        <w:rPr>
          <w:rtl/>
        </w:rPr>
        <w:t xml:space="preserve"> </w:t>
      </w:r>
      <w:r>
        <w:rPr>
          <w:rFonts w:hint="eastAsia"/>
          <w:rtl/>
        </w:rPr>
        <w:t>זה</w:t>
      </w:r>
      <w:r>
        <w:rPr>
          <w:rtl/>
        </w:rPr>
        <w:t xml:space="preserve"> </w:t>
      </w:r>
      <w:r>
        <w:rPr>
          <w:rFonts w:hint="eastAsia"/>
          <w:rtl/>
        </w:rPr>
        <w:t>מהסיבה</w:t>
      </w:r>
      <w:r>
        <w:rPr>
          <w:rtl/>
        </w:rPr>
        <w:t xml:space="preserve"> </w:t>
      </w:r>
      <w:r>
        <w:rPr>
          <w:rFonts w:hint="eastAsia"/>
          <w:rtl/>
        </w:rPr>
        <w:t>שהרבה</w:t>
      </w:r>
      <w:r>
        <w:rPr>
          <w:rtl/>
        </w:rPr>
        <w:t xml:space="preserve"> </w:t>
      </w:r>
      <w:r>
        <w:rPr>
          <w:rFonts w:hint="eastAsia"/>
          <w:rtl/>
        </w:rPr>
        <w:t>מאוד</w:t>
      </w:r>
      <w:r>
        <w:rPr>
          <w:rtl/>
        </w:rPr>
        <w:t xml:space="preserve"> </w:t>
      </w:r>
      <w:r>
        <w:rPr>
          <w:rFonts w:hint="eastAsia"/>
          <w:rtl/>
        </w:rPr>
        <w:t>פעמים</w:t>
      </w:r>
      <w:r>
        <w:rPr>
          <w:rtl/>
        </w:rPr>
        <w:t xml:space="preserve"> </w:t>
      </w:r>
      <w:r>
        <w:rPr>
          <w:rFonts w:hint="eastAsia"/>
          <w:rtl/>
        </w:rPr>
        <w:t>בהיותי</w:t>
      </w:r>
      <w:r>
        <w:rPr>
          <w:rtl/>
        </w:rPr>
        <w:t xml:space="preserve"> </w:t>
      </w:r>
      <w:r>
        <w:rPr>
          <w:rFonts w:hint="eastAsia"/>
          <w:rtl/>
        </w:rPr>
        <w:t>סנגורית</w:t>
      </w:r>
      <w:r>
        <w:rPr>
          <w:rtl/>
        </w:rPr>
        <w:t xml:space="preserve"> </w:t>
      </w:r>
      <w:r>
        <w:rPr>
          <w:rFonts w:hint="eastAsia"/>
          <w:rtl/>
        </w:rPr>
        <w:t>ראיתי</w:t>
      </w:r>
      <w:r>
        <w:rPr>
          <w:rtl/>
        </w:rPr>
        <w:t xml:space="preserve"> </w:t>
      </w:r>
      <w:r>
        <w:rPr>
          <w:rFonts w:hint="eastAsia"/>
          <w:rtl/>
        </w:rPr>
        <w:t>וגם</w:t>
      </w:r>
      <w:r>
        <w:rPr>
          <w:rtl/>
        </w:rPr>
        <w:t xml:space="preserve"> </w:t>
      </w:r>
      <w:r>
        <w:rPr>
          <w:rFonts w:hint="eastAsia"/>
          <w:rtl/>
        </w:rPr>
        <w:t>ראיתי</w:t>
      </w:r>
      <w:r>
        <w:rPr>
          <w:rtl/>
        </w:rPr>
        <w:t xml:space="preserve"> </w:t>
      </w:r>
      <w:r>
        <w:rPr>
          <w:rFonts w:hint="eastAsia"/>
          <w:rtl/>
        </w:rPr>
        <w:t>תמונה</w:t>
      </w:r>
      <w:r>
        <w:rPr>
          <w:rtl/>
        </w:rPr>
        <w:t xml:space="preserve"> </w:t>
      </w:r>
      <w:r>
        <w:rPr>
          <w:rFonts w:hint="eastAsia"/>
          <w:rtl/>
        </w:rPr>
        <w:t>מצורפת</w:t>
      </w:r>
      <w:r>
        <w:rPr>
          <w:rtl/>
        </w:rPr>
        <w:t xml:space="preserve"> </w:t>
      </w:r>
      <w:r>
        <w:rPr>
          <w:rFonts w:hint="eastAsia"/>
          <w:rtl/>
        </w:rPr>
        <w:t>של</w:t>
      </w:r>
      <w:r>
        <w:rPr>
          <w:rtl/>
        </w:rPr>
        <w:t xml:space="preserve"> </w:t>
      </w:r>
      <w:r>
        <w:rPr>
          <w:rFonts w:hint="eastAsia"/>
          <w:rtl/>
        </w:rPr>
        <w:t>עמית</w:t>
      </w:r>
      <w:r>
        <w:rPr>
          <w:rtl/>
        </w:rPr>
        <w:t xml:space="preserve"> </w:t>
      </w:r>
      <w:r>
        <w:rPr>
          <w:rFonts w:hint="eastAsia"/>
          <w:rtl/>
        </w:rPr>
        <w:t>הלוי</w:t>
      </w:r>
      <w:r>
        <w:rPr>
          <w:rtl/>
        </w:rPr>
        <w:t xml:space="preserve"> </w:t>
      </w:r>
      <w:r>
        <w:rPr>
          <w:rFonts w:hint="eastAsia"/>
          <w:rtl/>
        </w:rPr>
        <w:t>יחד</w:t>
      </w:r>
      <w:r>
        <w:rPr>
          <w:rtl/>
        </w:rPr>
        <w:t xml:space="preserve"> </w:t>
      </w:r>
      <w:r>
        <w:rPr>
          <w:rFonts w:hint="eastAsia"/>
          <w:rtl/>
        </w:rPr>
        <w:t>עם</w:t>
      </w:r>
      <w:r>
        <w:rPr>
          <w:rtl/>
        </w:rPr>
        <w:t xml:space="preserve"> </w:t>
      </w:r>
      <w:r>
        <w:rPr>
          <w:rFonts w:hint="eastAsia"/>
          <w:rtl/>
        </w:rPr>
        <w:t>יושב</w:t>
      </w:r>
      <w:r>
        <w:rPr>
          <w:rtl/>
        </w:rPr>
        <w:t xml:space="preserve"> </w:t>
      </w:r>
      <w:r>
        <w:rPr>
          <w:rFonts w:hint="eastAsia"/>
          <w:rtl/>
        </w:rPr>
        <w:t>ראש</w:t>
      </w:r>
      <w:r>
        <w:rPr>
          <w:rtl/>
        </w:rPr>
        <w:t xml:space="preserve"> </w:t>
      </w:r>
      <w:r>
        <w:rPr>
          <w:rFonts w:hint="eastAsia"/>
          <w:rtl/>
        </w:rPr>
        <w:t>הוועדה</w:t>
      </w:r>
      <w:r>
        <w:rPr>
          <w:rtl/>
        </w:rPr>
        <w:t xml:space="preserve"> </w:t>
      </w:r>
      <w:r>
        <w:rPr>
          <w:rFonts w:hint="eastAsia"/>
          <w:rtl/>
        </w:rPr>
        <w:t>הקרואה</w:t>
      </w:r>
      <w:r>
        <w:rPr>
          <w:rtl/>
        </w:rPr>
        <w:t>.</w:t>
      </w:r>
    </w:p>
    <w:p w:rsidR="00553FDC" w:rsidRDefault="00553FDC" w:rsidP="00553FDC">
      <w:pPr>
        <w:pStyle w:val="Ruller5"/>
        <w:rPr>
          <w:rtl/>
        </w:rPr>
      </w:pPr>
    </w:p>
    <w:p w:rsidR="00553FDC" w:rsidRPr="00804429" w:rsidRDefault="00553FDC" w:rsidP="00553FDC">
      <w:pPr>
        <w:pStyle w:val="Ruller5"/>
      </w:pPr>
      <w:r>
        <w:rPr>
          <w:rFonts w:hint="eastAsia"/>
          <w:rtl/>
        </w:rPr>
        <w:t>בשנת</w:t>
      </w:r>
      <w:r>
        <w:rPr>
          <w:rtl/>
        </w:rPr>
        <w:t xml:space="preserve"> 2008 </w:t>
      </w:r>
      <w:r>
        <w:rPr>
          <w:rFonts w:hint="eastAsia"/>
          <w:rtl/>
        </w:rPr>
        <w:t>מצאו</w:t>
      </w:r>
      <w:r>
        <w:rPr>
          <w:rtl/>
        </w:rPr>
        <w:t xml:space="preserve"> </w:t>
      </w:r>
      <w:r>
        <w:rPr>
          <w:rFonts w:hint="eastAsia"/>
          <w:rtl/>
        </w:rPr>
        <w:t>לחוקק</w:t>
      </w:r>
      <w:r>
        <w:rPr>
          <w:rtl/>
        </w:rPr>
        <w:t xml:space="preserve"> </w:t>
      </w:r>
      <w:r>
        <w:rPr>
          <w:rFonts w:hint="eastAsia"/>
          <w:rtl/>
        </w:rPr>
        <w:t>את</w:t>
      </w:r>
      <w:r>
        <w:rPr>
          <w:rtl/>
        </w:rPr>
        <w:t xml:space="preserve"> </w:t>
      </w:r>
      <w:r>
        <w:rPr>
          <w:rFonts w:hint="eastAsia"/>
          <w:rtl/>
        </w:rPr>
        <w:t>תקופת</w:t>
      </w:r>
      <w:r>
        <w:rPr>
          <w:rtl/>
        </w:rPr>
        <w:t xml:space="preserve"> </w:t>
      </w:r>
      <w:r>
        <w:rPr>
          <w:rFonts w:hint="eastAsia"/>
          <w:rtl/>
        </w:rPr>
        <w:t>הצינון</w:t>
      </w:r>
      <w:r>
        <w:rPr>
          <w:rtl/>
        </w:rPr>
        <w:t xml:space="preserve">. </w:t>
      </w:r>
      <w:r>
        <w:rPr>
          <w:rFonts w:hint="eastAsia"/>
          <w:rtl/>
        </w:rPr>
        <w:t>מה</w:t>
      </w:r>
      <w:r>
        <w:rPr>
          <w:rtl/>
        </w:rPr>
        <w:t xml:space="preserve"> </w:t>
      </w:r>
      <w:r>
        <w:rPr>
          <w:rFonts w:hint="eastAsia"/>
          <w:rtl/>
        </w:rPr>
        <w:t>בעצם</w:t>
      </w:r>
      <w:r>
        <w:rPr>
          <w:rtl/>
        </w:rPr>
        <w:t xml:space="preserve"> </w:t>
      </w:r>
      <w:r>
        <w:rPr>
          <w:rFonts w:hint="eastAsia"/>
          <w:rtl/>
        </w:rPr>
        <w:t>יוצרת</w:t>
      </w:r>
      <w:r>
        <w:rPr>
          <w:rtl/>
        </w:rPr>
        <w:t xml:space="preserve"> </w:t>
      </w:r>
      <w:r>
        <w:rPr>
          <w:rFonts w:hint="eastAsia"/>
          <w:rtl/>
        </w:rPr>
        <w:t>תקופת</w:t>
      </w:r>
      <w:r>
        <w:rPr>
          <w:rtl/>
        </w:rPr>
        <w:t xml:space="preserve"> </w:t>
      </w:r>
      <w:r>
        <w:rPr>
          <w:rFonts w:hint="eastAsia"/>
          <w:rtl/>
        </w:rPr>
        <w:t>צינון</w:t>
      </w:r>
      <w:r>
        <w:rPr>
          <w:rtl/>
        </w:rPr>
        <w:t xml:space="preserve">? </w:t>
      </w:r>
      <w:r>
        <w:rPr>
          <w:rFonts w:hint="eastAsia"/>
          <w:rtl/>
        </w:rPr>
        <w:t>כשאני</w:t>
      </w:r>
      <w:r>
        <w:rPr>
          <w:rtl/>
        </w:rPr>
        <w:t xml:space="preserve"> </w:t>
      </w:r>
      <w:r>
        <w:rPr>
          <w:rFonts w:hint="eastAsia"/>
          <w:rtl/>
        </w:rPr>
        <w:t>ממנה</w:t>
      </w:r>
      <w:r>
        <w:rPr>
          <w:rtl/>
        </w:rPr>
        <w:t xml:space="preserve"> </w:t>
      </w:r>
      <w:r>
        <w:rPr>
          <w:rFonts w:hint="eastAsia"/>
          <w:rtl/>
        </w:rPr>
        <w:t>יושב</w:t>
      </w:r>
      <w:r>
        <w:rPr>
          <w:rtl/>
        </w:rPr>
        <w:t xml:space="preserve"> </w:t>
      </w:r>
      <w:r>
        <w:rPr>
          <w:rFonts w:hint="eastAsia"/>
          <w:rtl/>
        </w:rPr>
        <w:t>ראש</w:t>
      </w:r>
      <w:r>
        <w:rPr>
          <w:rtl/>
        </w:rPr>
        <w:t xml:space="preserve"> </w:t>
      </w:r>
      <w:r>
        <w:rPr>
          <w:rFonts w:hint="eastAsia"/>
          <w:rtl/>
        </w:rPr>
        <w:t>ועדה</w:t>
      </w:r>
      <w:r>
        <w:rPr>
          <w:rtl/>
        </w:rPr>
        <w:t xml:space="preserve"> </w:t>
      </w:r>
      <w:r>
        <w:rPr>
          <w:rFonts w:hint="eastAsia"/>
          <w:rtl/>
        </w:rPr>
        <w:t>ממנה</w:t>
      </w:r>
      <w:r>
        <w:rPr>
          <w:rtl/>
        </w:rPr>
        <w:t xml:space="preserve"> </w:t>
      </w:r>
      <w:r>
        <w:rPr>
          <w:rFonts w:hint="eastAsia"/>
          <w:rtl/>
        </w:rPr>
        <w:t>או</w:t>
      </w:r>
      <w:r>
        <w:rPr>
          <w:rtl/>
        </w:rPr>
        <w:t xml:space="preserve"> </w:t>
      </w:r>
      <w:r>
        <w:rPr>
          <w:rFonts w:hint="eastAsia"/>
          <w:rtl/>
        </w:rPr>
        <w:t>ועדה</w:t>
      </w:r>
      <w:r>
        <w:rPr>
          <w:rtl/>
        </w:rPr>
        <w:t xml:space="preserve"> </w:t>
      </w:r>
      <w:r>
        <w:rPr>
          <w:rFonts w:hint="eastAsia"/>
          <w:rtl/>
        </w:rPr>
        <w:t>קרואה</w:t>
      </w:r>
      <w:r>
        <w:rPr>
          <w:rtl/>
        </w:rPr>
        <w:t xml:space="preserve">, </w:t>
      </w:r>
      <w:r>
        <w:rPr>
          <w:rFonts w:hint="eastAsia"/>
          <w:rtl/>
        </w:rPr>
        <w:t>הוא</w:t>
      </w:r>
      <w:r>
        <w:rPr>
          <w:rtl/>
        </w:rPr>
        <w:t xml:space="preserve"> </w:t>
      </w:r>
      <w:r>
        <w:rPr>
          <w:rFonts w:hint="eastAsia"/>
          <w:rtl/>
        </w:rPr>
        <w:t>מתמנה</w:t>
      </w:r>
      <w:r>
        <w:rPr>
          <w:rtl/>
        </w:rPr>
        <w:t xml:space="preserve">, </w:t>
      </w:r>
      <w:r>
        <w:rPr>
          <w:rFonts w:hint="eastAsia"/>
          <w:rtl/>
        </w:rPr>
        <w:t>הוא</w:t>
      </w:r>
      <w:r>
        <w:rPr>
          <w:rtl/>
        </w:rPr>
        <w:t xml:space="preserve"> </w:t>
      </w:r>
      <w:r>
        <w:rPr>
          <w:rFonts w:hint="eastAsia"/>
          <w:rtl/>
        </w:rPr>
        <w:t>לא</w:t>
      </w:r>
      <w:r>
        <w:rPr>
          <w:rtl/>
        </w:rPr>
        <w:t xml:space="preserve"> </w:t>
      </w:r>
      <w:r>
        <w:rPr>
          <w:rFonts w:hint="eastAsia"/>
          <w:rtl/>
        </w:rPr>
        <w:t>עובר</w:t>
      </w:r>
      <w:r>
        <w:rPr>
          <w:rtl/>
        </w:rPr>
        <w:t xml:space="preserve"> </w:t>
      </w:r>
      <w:r>
        <w:rPr>
          <w:rFonts w:hint="eastAsia"/>
          <w:rtl/>
        </w:rPr>
        <w:t>את</w:t>
      </w:r>
      <w:r>
        <w:rPr>
          <w:rtl/>
        </w:rPr>
        <w:t xml:space="preserve"> </w:t>
      </w:r>
      <w:r>
        <w:rPr>
          <w:rFonts w:hint="eastAsia"/>
          <w:rtl/>
        </w:rPr>
        <w:t>כל</w:t>
      </w:r>
      <w:r>
        <w:rPr>
          <w:rtl/>
        </w:rPr>
        <w:t xml:space="preserve"> </w:t>
      </w:r>
      <w:r>
        <w:rPr>
          <w:rFonts w:hint="eastAsia"/>
          <w:rtl/>
        </w:rPr>
        <w:t>התהליך</w:t>
      </w:r>
      <w:r>
        <w:rPr>
          <w:rtl/>
        </w:rPr>
        <w:t xml:space="preserve"> </w:t>
      </w:r>
      <w:r>
        <w:rPr>
          <w:rFonts w:hint="eastAsia"/>
          <w:rtl/>
        </w:rPr>
        <w:t>של</w:t>
      </w:r>
      <w:r>
        <w:rPr>
          <w:rtl/>
        </w:rPr>
        <w:t xml:space="preserve"> </w:t>
      </w:r>
      <w:r>
        <w:rPr>
          <w:rFonts w:hint="eastAsia"/>
          <w:rtl/>
        </w:rPr>
        <w:t>בחירות</w:t>
      </w:r>
      <w:r>
        <w:rPr>
          <w:rtl/>
        </w:rPr>
        <w:t xml:space="preserve">, </w:t>
      </w:r>
      <w:r>
        <w:rPr>
          <w:rFonts w:hint="eastAsia"/>
          <w:rtl/>
        </w:rPr>
        <w:t>של</w:t>
      </w:r>
      <w:r>
        <w:rPr>
          <w:rtl/>
        </w:rPr>
        <w:t xml:space="preserve"> </w:t>
      </w:r>
      <w:r>
        <w:rPr>
          <w:rFonts w:hint="eastAsia"/>
          <w:rtl/>
        </w:rPr>
        <w:t>ללכת</w:t>
      </w:r>
      <w:r>
        <w:rPr>
          <w:rtl/>
        </w:rPr>
        <w:t xml:space="preserve"> </w:t>
      </w:r>
      <w:r>
        <w:rPr>
          <w:rFonts w:hint="eastAsia"/>
          <w:rtl/>
        </w:rPr>
        <w:t>לדבר</w:t>
      </w:r>
      <w:r>
        <w:rPr>
          <w:rtl/>
        </w:rPr>
        <w:t xml:space="preserve"> </w:t>
      </w:r>
      <w:r>
        <w:rPr>
          <w:rFonts w:hint="eastAsia"/>
          <w:rtl/>
        </w:rPr>
        <w:t>עם</w:t>
      </w:r>
      <w:r>
        <w:rPr>
          <w:rtl/>
        </w:rPr>
        <w:t xml:space="preserve"> </w:t>
      </w:r>
      <w:r>
        <w:rPr>
          <w:rFonts w:hint="eastAsia"/>
          <w:rtl/>
        </w:rPr>
        <w:t>האזרחים</w:t>
      </w:r>
      <w:r>
        <w:rPr>
          <w:rtl/>
        </w:rPr>
        <w:t xml:space="preserve">, </w:t>
      </w:r>
      <w:r>
        <w:rPr>
          <w:rFonts w:hint="eastAsia"/>
          <w:rtl/>
        </w:rPr>
        <w:t>לקבל</w:t>
      </w:r>
      <w:r>
        <w:rPr>
          <w:rtl/>
        </w:rPr>
        <w:t xml:space="preserve"> </w:t>
      </w:r>
      <w:r>
        <w:rPr>
          <w:rFonts w:hint="eastAsia"/>
          <w:rtl/>
        </w:rPr>
        <w:t>את</w:t>
      </w:r>
      <w:r>
        <w:rPr>
          <w:rtl/>
        </w:rPr>
        <w:t xml:space="preserve"> </w:t>
      </w:r>
      <w:r>
        <w:rPr>
          <w:rFonts w:hint="eastAsia"/>
          <w:rtl/>
        </w:rPr>
        <w:t>האמון</w:t>
      </w:r>
      <w:r>
        <w:rPr>
          <w:rtl/>
        </w:rPr>
        <w:t xml:space="preserve"> </w:t>
      </w:r>
      <w:r>
        <w:rPr>
          <w:rFonts w:hint="eastAsia"/>
          <w:rtl/>
        </w:rPr>
        <w:t>שלהם</w:t>
      </w:r>
      <w:r>
        <w:rPr>
          <w:rtl/>
        </w:rPr>
        <w:t xml:space="preserve">, </w:t>
      </w:r>
      <w:r>
        <w:rPr>
          <w:rFonts w:hint="eastAsia"/>
          <w:rtl/>
        </w:rPr>
        <w:t>להבטיח</w:t>
      </w:r>
      <w:r>
        <w:rPr>
          <w:rtl/>
        </w:rPr>
        <w:t xml:space="preserve"> </w:t>
      </w:r>
      <w:r>
        <w:rPr>
          <w:rFonts w:hint="eastAsia"/>
          <w:rtl/>
        </w:rPr>
        <w:t>להם</w:t>
      </w:r>
      <w:r>
        <w:rPr>
          <w:rtl/>
        </w:rPr>
        <w:t xml:space="preserve"> </w:t>
      </w:r>
      <w:r>
        <w:rPr>
          <w:rFonts w:hint="eastAsia"/>
          <w:rtl/>
        </w:rPr>
        <w:t>הבטחות</w:t>
      </w:r>
      <w:r>
        <w:rPr>
          <w:rtl/>
        </w:rPr>
        <w:t xml:space="preserve"> </w:t>
      </w:r>
      <w:r>
        <w:rPr>
          <w:rFonts w:hint="eastAsia"/>
          <w:rtl/>
        </w:rPr>
        <w:t>ולקיים</w:t>
      </w:r>
      <w:r>
        <w:rPr>
          <w:rtl/>
        </w:rPr>
        <w:t xml:space="preserve"> </w:t>
      </w:r>
      <w:r>
        <w:rPr>
          <w:rFonts w:hint="eastAsia"/>
          <w:rtl/>
        </w:rPr>
        <w:t>את</w:t>
      </w:r>
      <w:r>
        <w:rPr>
          <w:rtl/>
        </w:rPr>
        <w:t xml:space="preserve"> </w:t>
      </w:r>
      <w:r>
        <w:rPr>
          <w:rFonts w:hint="eastAsia"/>
          <w:rtl/>
        </w:rPr>
        <w:t>ההבטחות</w:t>
      </w:r>
      <w:r>
        <w:rPr>
          <w:rtl/>
        </w:rPr>
        <w:t xml:space="preserve"> </w:t>
      </w:r>
      <w:r>
        <w:rPr>
          <w:rFonts w:hint="eastAsia"/>
          <w:rtl/>
        </w:rPr>
        <w:t>האלו</w:t>
      </w:r>
      <w:r>
        <w:rPr>
          <w:rtl/>
        </w:rPr>
        <w:t xml:space="preserve">. </w:t>
      </w:r>
      <w:r>
        <w:rPr>
          <w:rFonts w:hint="eastAsia"/>
          <w:rtl/>
        </w:rPr>
        <w:t>הוא</w:t>
      </w:r>
      <w:r>
        <w:rPr>
          <w:rtl/>
        </w:rPr>
        <w:t xml:space="preserve"> </w:t>
      </w:r>
      <w:r>
        <w:rPr>
          <w:rFonts w:hint="eastAsia"/>
          <w:rtl/>
        </w:rPr>
        <w:t>משתמש</w:t>
      </w:r>
      <w:r>
        <w:rPr>
          <w:rtl/>
        </w:rPr>
        <w:t xml:space="preserve"> </w:t>
      </w:r>
      <w:r>
        <w:rPr>
          <w:rFonts w:hint="eastAsia"/>
          <w:rtl/>
        </w:rPr>
        <w:t>במנגנון</w:t>
      </w:r>
      <w:r>
        <w:rPr>
          <w:rtl/>
        </w:rPr>
        <w:t xml:space="preserve"> </w:t>
      </w:r>
      <w:r>
        <w:rPr>
          <w:rFonts w:hint="eastAsia"/>
          <w:rtl/>
        </w:rPr>
        <w:t>כיו</w:t>
      </w:r>
      <w:r>
        <w:rPr>
          <w:rtl/>
        </w:rPr>
        <w:t>"</w:t>
      </w:r>
      <w:r>
        <w:rPr>
          <w:rFonts w:hint="eastAsia"/>
          <w:rtl/>
        </w:rPr>
        <w:t>ר</w:t>
      </w:r>
      <w:r>
        <w:rPr>
          <w:rtl/>
        </w:rPr>
        <w:t xml:space="preserve"> </w:t>
      </w:r>
      <w:r>
        <w:rPr>
          <w:rFonts w:hint="eastAsia"/>
          <w:rtl/>
        </w:rPr>
        <w:t>ועדה</w:t>
      </w:r>
      <w:r>
        <w:rPr>
          <w:rtl/>
        </w:rPr>
        <w:t xml:space="preserve"> </w:t>
      </w:r>
      <w:r>
        <w:rPr>
          <w:rFonts w:hint="eastAsia"/>
          <w:rtl/>
        </w:rPr>
        <w:t>ממונה</w:t>
      </w:r>
      <w:r>
        <w:rPr>
          <w:rtl/>
        </w:rPr>
        <w:t xml:space="preserve">, </w:t>
      </w:r>
      <w:r>
        <w:rPr>
          <w:rFonts w:hint="eastAsia"/>
          <w:rtl/>
        </w:rPr>
        <w:t>לא</w:t>
      </w:r>
      <w:r>
        <w:rPr>
          <w:rtl/>
        </w:rPr>
        <w:t xml:space="preserve"> </w:t>
      </w:r>
      <w:r>
        <w:rPr>
          <w:rFonts w:hint="eastAsia"/>
          <w:rtl/>
        </w:rPr>
        <w:t>כראש</w:t>
      </w:r>
      <w:r>
        <w:rPr>
          <w:rtl/>
        </w:rPr>
        <w:t xml:space="preserve"> </w:t>
      </w:r>
      <w:r>
        <w:rPr>
          <w:rFonts w:hint="eastAsia"/>
          <w:rtl/>
        </w:rPr>
        <w:t>עיר</w:t>
      </w:r>
      <w:r>
        <w:rPr>
          <w:rtl/>
        </w:rPr>
        <w:t xml:space="preserve">. </w:t>
      </w:r>
      <w:r w:rsidRPr="005E6230">
        <w:rPr>
          <w:rFonts w:ascii="Century" w:hAnsi="Century" w:cs="Miriam" w:hint="eastAsia"/>
          <w:b/>
          <w:spacing w:val="0"/>
          <w:szCs w:val="24"/>
          <w:rtl/>
        </w:rPr>
        <w:t>עולה</w:t>
      </w:r>
      <w:r w:rsidRPr="005E6230">
        <w:rPr>
          <w:rFonts w:ascii="Century" w:hAnsi="Century" w:cs="Miriam"/>
          <w:b/>
          <w:spacing w:val="0"/>
          <w:szCs w:val="24"/>
          <w:rtl/>
        </w:rPr>
        <w:t xml:space="preserve"> </w:t>
      </w:r>
      <w:r w:rsidRPr="005E6230">
        <w:rPr>
          <w:rFonts w:ascii="Century" w:hAnsi="Century" w:cs="Miriam" w:hint="eastAsia"/>
          <w:b/>
          <w:spacing w:val="0"/>
          <w:szCs w:val="24"/>
          <w:rtl/>
        </w:rPr>
        <w:t>ריח</w:t>
      </w:r>
      <w:r w:rsidRPr="005E6230">
        <w:rPr>
          <w:rFonts w:ascii="Century" w:hAnsi="Century" w:cs="Miriam"/>
          <w:b/>
          <w:spacing w:val="0"/>
          <w:szCs w:val="24"/>
          <w:rtl/>
        </w:rPr>
        <w:t xml:space="preserve"> </w:t>
      </w:r>
      <w:r w:rsidRPr="005E6230">
        <w:rPr>
          <w:rFonts w:ascii="Century" w:hAnsi="Century" w:cs="Miriam" w:hint="eastAsia"/>
          <w:b/>
          <w:spacing w:val="0"/>
          <w:szCs w:val="24"/>
          <w:rtl/>
        </w:rPr>
        <w:t>מאוד</w:t>
      </w:r>
      <w:r w:rsidRPr="005E6230">
        <w:rPr>
          <w:rFonts w:ascii="Century" w:hAnsi="Century" w:cs="Miriam"/>
          <w:b/>
          <w:spacing w:val="0"/>
          <w:szCs w:val="24"/>
          <w:rtl/>
        </w:rPr>
        <w:t xml:space="preserve"> </w:t>
      </w:r>
      <w:r w:rsidRPr="005E6230">
        <w:rPr>
          <w:rFonts w:ascii="Century" w:hAnsi="Century" w:cs="Miriam" w:hint="eastAsia"/>
          <w:b/>
          <w:spacing w:val="0"/>
          <w:szCs w:val="24"/>
          <w:rtl/>
        </w:rPr>
        <w:t>מאוד</w:t>
      </w:r>
      <w:r w:rsidRPr="005E6230">
        <w:rPr>
          <w:rFonts w:ascii="Century" w:hAnsi="Century" w:cs="Miriam"/>
          <w:b/>
          <w:spacing w:val="0"/>
          <w:szCs w:val="24"/>
          <w:rtl/>
        </w:rPr>
        <w:t xml:space="preserve"> </w:t>
      </w:r>
      <w:r w:rsidRPr="005E6230">
        <w:rPr>
          <w:rFonts w:ascii="Century" w:hAnsi="Century" w:cs="Miriam" w:hint="eastAsia"/>
          <w:b/>
          <w:spacing w:val="0"/>
          <w:szCs w:val="24"/>
          <w:rtl/>
        </w:rPr>
        <w:t>רע</w:t>
      </w:r>
      <w:r w:rsidRPr="005E6230">
        <w:rPr>
          <w:rFonts w:ascii="Century" w:hAnsi="Century" w:cs="Miriam"/>
          <w:b/>
          <w:spacing w:val="0"/>
          <w:szCs w:val="24"/>
          <w:rtl/>
        </w:rPr>
        <w:t xml:space="preserve"> </w:t>
      </w:r>
      <w:r w:rsidRPr="005E6230">
        <w:rPr>
          <w:rFonts w:ascii="Century" w:hAnsi="Century" w:cs="Miriam" w:hint="eastAsia"/>
          <w:b/>
          <w:spacing w:val="0"/>
          <w:szCs w:val="24"/>
          <w:rtl/>
        </w:rPr>
        <w:t>מהצעת</w:t>
      </w:r>
      <w:r w:rsidRPr="005E6230">
        <w:rPr>
          <w:rFonts w:ascii="Century" w:hAnsi="Century" w:cs="Miriam"/>
          <w:b/>
          <w:spacing w:val="0"/>
          <w:szCs w:val="24"/>
          <w:rtl/>
        </w:rPr>
        <w:t xml:space="preserve"> </w:t>
      </w:r>
      <w:r w:rsidRPr="005E6230">
        <w:rPr>
          <w:rFonts w:ascii="Century" w:hAnsi="Century" w:cs="Miriam" w:hint="eastAsia"/>
          <w:b/>
          <w:spacing w:val="0"/>
          <w:szCs w:val="24"/>
          <w:rtl/>
        </w:rPr>
        <w:t>חוק</w:t>
      </w:r>
      <w:r w:rsidRPr="005E6230">
        <w:rPr>
          <w:rFonts w:ascii="Century" w:hAnsi="Century" w:cs="Miriam"/>
          <w:b/>
          <w:spacing w:val="0"/>
          <w:szCs w:val="24"/>
          <w:rtl/>
        </w:rPr>
        <w:t xml:space="preserve"> </w:t>
      </w:r>
      <w:r w:rsidRPr="005E6230">
        <w:rPr>
          <w:rFonts w:ascii="Century" w:hAnsi="Century" w:cs="Miriam" w:hint="eastAsia"/>
          <w:b/>
          <w:spacing w:val="0"/>
          <w:szCs w:val="24"/>
          <w:rtl/>
        </w:rPr>
        <w:t>שמוגשת</w:t>
      </w:r>
      <w:r w:rsidRPr="005E6230">
        <w:rPr>
          <w:rFonts w:ascii="Century" w:hAnsi="Century" w:cs="Miriam"/>
          <w:b/>
          <w:spacing w:val="0"/>
          <w:szCs w:val="24"/>
          <w:rtl/>
        </w:rPr>
        <w:t xml:space="preserve"> </w:t>
      </w:r>
      <w:r w:rsidRPr="005E6230">
        <w:rPr>
          <w:rFonts w:ascii="Century" w:hAnsi="Century" w:cs="Miriam" w:hint="eastAsia"/>
          <w:b/>
          <w:spacing w:val="0"/>
          <w:szCs w:val="24"/>
          <w:rtl/>
        </w:rPr>
        <w:t>כדי</w:t>
      </w:r>
      <w:r w:rsidRPr="005E6230">
        <w:rPr>
          <w:rFonts w:ascii="Century" w:hAnsi="Century" w:cs="Miriam"/>
          <w:b/>
          <w:spacing w:val="0"/>
          <w:szCs w:val="24"/>
          <w:rtl/>
        </w:rPr>
        <w:t xml:space="preserve"> </w:t>
      </w:r>
      <w:r w:rsidRPr="005E6230">
        <w:rPr>
          <w:rFonts w:ascii="Century" w:hAnsi="Century" w:cs="Miriam" w:hint="eastAsia"/>
          <w:b/>
          <w:spacing w:val="0"/>
          <w:szCs w:val="24"/>
          <w:rtl/>
        </w:rPr>
        <w:t>להקל</w:t>
      </w:r>
      <w:r w:rsidRPr="005E6230">
        <w:rPr>
          <w:rFonts w:ascii="Century" w:hAnsi="Century" w:cs="Miriam"/>
          <w:b/>
          <w:spacing w:val="0"/>
          <w:szCs w:val="24"/>
          <w:rtl/>
        </w:rPr>
        <w:t xml:space="preserve"> </w:t>
      </w:r>
      <w:r w:rsidRPr="005E6230">
        <w:rPr>
          <w:rFonts w:ascii="Century" w:hAnsi="Century" w:cs="Miriam" w:hint="eastAsia"/>
          <w:b/>
          <w:spacing w:val="0"/>
          <w:szCs w:val="24"/>
          <w:rtl/>
        </w:rPr>
        <w:t>פרסונאלית</w:t>
      </w:r>
      <w:r w:rsidRPr="005E6230">
        <w:rPr>
          <w:rFonts w:ascii="Century" w:hAnsi="Century" w:cs="Miriam"/>
          <w:b/>
          <w:spacing w:val="0"/>
          <w:szCs w:val="24"/>
          <w:rtl/>
        </w:rPr>
        <w:t xml:space="preserve"> </w:t>
      </w:r>
      <w:r w:rsidRPr="005E6230">
        <w:rPr>
          <w:rFonts w:ascii="Century" w:hAnsi="Century" w:cs="Miriam" w:hint="eastAsia"/>
          <w:b/>
          <w:spacing w:val="0"/>
          <w:szCs w:val="24"/>
          <w:rtl/>
        </w:rPr>
        <w:t>על</w:t>
      </w:r>
      <w:r w:rsidRPr="005E6230">
        <w:rPr>
          <w:rFonts w:ascii="Century" w:hAnsi="Century" w:cs="Miriam"/>
          <w:b/>
          <w:spacing w:val="0"/>
          <w:szCs w:val="24"/>
          <w:rtl/>
        </w:rPr>
        <w:t xml:space="preserve"> </w:t>
      </w:r>
      <w:r w:rsidRPr="005E6230">
        <w:rPr>
          <w:rFonts w:ascii="Century" w:hAnsi="Century" w:cs="Miriam" w:hint="eastAsia"/>
          <w:b/>
          <w:spacing w:val="0"/>
          <w:szCs w:val="24"/>
          <w:rtl/>
        </w:rPr>
        <w:t>מועמד</w:t>
      </w:r>
      <w:r w:rsidRPr="005E6230">
        <w:rPr>
          <w:rFonts w:ascii="Century" w:hAnsi="Century" w:cs="Miriam"/>
          <w:b/>
          <w:spacing w:val="0"/>
          <w:szCs w:val="24"/>
          <w:rtl/>
        </w:rPr>
        <w:t>.</w:t>
      </w:r>
      <w:r>
        <w:rPr>
          <w:rtl/>
        </w:rPr>
        <w:t xml:space="preserve"> </w:t>
      </w:r>
      <w:r>
        <w:rPr>
          <w:rFonts w:hint="eastAsia"/>
          <w:rtl/>
        </w:rPr>
        <w:t>כחברת</w:t>
      </w:r>
      <w:r>
        <w:rPr>
          <w:rtl/>
        </w:rPr>
        <w:t xml:space="preserve"> </w:t>
      </w:r>
      <w:r>
        <w:rPr>
          <w:rFonts w:hint="eastAsia"/>
          <w:rtl/>
        </w:rPr>
        <w:t>ליכוד</w:t>
      </w:r>
      <w:r>
        <w:rPr>
          <w:rtl/>
        </w:rPr>
        <w:t xml:space="preserve"> </w:t>
      </w:r>
      <w:r>
        <w:rPr>
          <w:rFonts w:hint="eastAsia"/>
          <w:rtl/>
        </w:rPr>
        <w:t>אני</w:t>
      </w:r>
      <w:r>
        <w:rPr>
          <w:rtl/>
        </w:rPr>
        <w:t xml:space="preserve"> </w:t>
      </w:r>
      <w:r>
        <w:rPr>
          <w:rFonts w:hint="eastAsia"/>
          <w:rtl/>
        </w:rPr>
        <w:t>לא</w:t>
      </w:r>
      <w:r>
        <w:rPr>
          <w:rtl/>
        </w:rPr>
        <w:t xml:space="preserve"> </w:t>
      </w:r>
      <w:r>
        <w:rPr>
          <w:rFonts w:hint="eastAsia"/>
          <w:rtl/>
        </w:rPr>
        <w:t>מוכנה</w:t>
      </w:r>
      <w:r>
        <w:rPr>
          <w:rtl/>
        </w:rPr>
        <w:t xml:space="preserve"> </w:t>
      </w:r>
      <w:r>
        <w:rPr>
          <w:rFonts w:hint="eastAsia"/>
          <w:rtl/>
        </w:rPr>
        <w:t>לקבל</w:t>
      </w:r>
      <w:r>
        <w:rPr>
          <w:rtl/>
        </w:rPr>
        <w:t xml:space="preserve"> </w:t>
      </w:r>
      <w:r>
        <w:rPr>
          <w:rFonts w:hint="eastAsia"/>
          <w:rtl/>
        </w:rPr>
        <w:t>שבמשמרת</w:t>
      </w:r>
      <w:r>
        <w:rPr>
          <w:rtl/>
        </w:rPr>
        <w:t xml:space="preserve"> </w:t>
      </w:r>
      <w:r>
        <w:rPr>
          <w:rFonts w:hint="eastAsia"/>
          <w:rtl/>
        </w:rPr>
        <w:t>שלנו</w:t>
      </w:r>
      <w:r>
        <w:rPr>
          <w:rtl/>
        </w:rPr>
        <w:t xml:space="preserve"> </w:t>
      </w:r>
      <w:r>
        <w:rPr>
          <w:rFonts w:hint="eastAsia"/>
          <w:rtl/>
        </w:rPr>
        <w:t>תוגש</w:t>
      </w:r>
      <w:r>
        <w:rPr>
          <w:rtl/>
        </w:rPr>
        <w:t xml:space="preserve"> </w:t>
      </w:r>
      <w:r>
        <w:rPr>
          <w:rFonts w:hint="eastAsia"/>
          <w:rtl/>
        </w:rPr>
        <w:t>הצעת</w:t>
      </w:r>
      <w:r>
        <w:rPr>
          <w:rtl/>
        </w:rPr>
        <w:t xml:space="preserve"> </w:t>
      </w:r>
      <w:r>
        <w:rPr>
          <w:rFonts w:hint="eastAsia"/>
          <w:rtl/>
        </w:rPr>
        <w:t>חוק</w:t>
      </w:r>
      <w:r>
        <w:rPr>
          <w:rtl/>
        </w:rPr>
        <w:t xml:space="preserve"> </w:t>
      </w:r>
      <w:r>
        <w:rPr>
          <w:rFonts w:hint="eastAsia"/>
          <w:rtl/>
        </w:rPr>
        <w:t>שכזאת</w:t>
      </w:r>
      <w:r>
        <w:rPr>
          <w:rtl/>
        </w:rPr>
        <w:t xml:space="preserve">. </w:t>
      </w:r>
      <w:r>
        <w:rPr>
          <w:rFonts w:hint="eastAsia"/>
          <w:rtl/>
        </w:rPr>
        <w:t>חשבתי</w:t>
      </w:r>
      <w:r>
        <w:rPr>
          <w:rtl/>
        </w:rPr>
        <w:t xml:space="preserve"> </w:t>
      </w:r>
      <w:r>
        <w:rPr>
          <w:rFonts w:hint="eastAsia"/>
          <w:rtl/>
        </w:rPr>
        <w:t>לתומי</w:t>
      </w:r>
      <w:r>
        <w:rPr>
          <w:rtl/>
        </w:rPr>
        <w:t xml:space="preserve"> </w:t>
      </w:r>
      <w:r>
        <w:rPr>
          <w:rFonts w:hint="eastAsia"/>
          <w:rtl/>
        </w:rPr>
        <w:t>שאחרי</w:t>
      </w:r>
      <w:r>
        <w:rPr>
          <w:rtl/>
        </w:rPr>
        <w:t xml:space="preserve"> </w:t>
      </w:r>
      <w:r>
        <w:rPr>
          <w:rFonts w:hint="eastAsia"/>
          <w:rtl/>
        </w:rPr>
        <w:t>כל</w:t>
      </w:r>
      <w:r>
        <w:rPr>
          <w:rtl/>
        </w:rPr>
        <w:t xml:space="preserve"> </w:t>
      </w:r>
      <w:r>
        <w:rPr>
          <w:rFonts w:hint="eastAsia"/>
          <w:rtl/>
        </w:rPr>
        <w:t>מה</w:t>
      </w:r>
      <w:r>
        <w:rPr>
          <w:rtl/>
        </w:rPr>
        <w:t xml:space="preserve"> </w:t>
      </w:r>
      <w:r>
        <w:rPr>
          <w:rFonts w:hint="eastAsia"/>
          <w:rtl/>
        </w:rPr>
        <w:t>שאני</w:t>
      </w:r>
      <w:r>
        <w:rPr>
          <w:rtl/>
        </w:rPr>
        <w:t xml:space="preserve"> </w:t>
      </w:r>
      <w:r>
        <w:rPr>
          <w:rFonts w:hint="eastAsia"/>
          <w:rtl/>
        </w:rPr>
        <w:t>אומרת</w:t>
      </w:r>
      <w:r>
        <w:rPr>
          <w:rtl/>
        </w:rPr>
        <w:t xml:space="preserve"> </w:t>
      </w:r>
      <w:r>
        <w:rPr>
          <w:rFonts w:hint="eastAsia"/>
          <w:rtl/>
        </w:rPr>
        <w:t>בכל</w:t>
      </w:r>
      <w:r>
        <w:rPr>
          <w:rtl/>
        </w:rPr>
        <w:t xml:space="preserve"> </w:t>
      </w:r>
      <w:r>
        <w:rPr>
          <w:rFonts w:hint="eastAsia"/>
          <w:rtl/>
        </w:rPr>
        <w:t>מקום</w:t>
      </w:r>
      <w:r>
        <w:rPr>
          <w:rtl/>
        </w:rPr>
        <w:t xml:space="preserve">, </w:t>
      </w:r>
      <w:r>
        <w:rPr>
          <w:rFonts w:hint="eastAsia"/>
          <w:rtl/>
        </w:rPr>
        <w:t>שאחרי</w:t>
      </w:r>
      <w:r>
        <w:rPr>
          <w:rtl/>
        </w:rPr>
        <w:t xml:space="preserve"> </w:t>
      </w:r>
      <w:r>
        <w:rPr>
          <w:rFonts w:hint="eastAsia"/>
          <w:rtl/>
        </w:rPr>
        <w:t>הביקורת</w:t>
      </w:r>
      <w:r>
        <w:rPr>
          <w:rtl/>
        </w:rPr>
        <w:t xml:space="preserve"> </w:t>
      </w:r>
      <w:r>
        <w:rPr>
          <w:rFonts w:hint="eastAsia"/>
          <w:rtl/>
        </w:rPr>
        <w:t>הנוקבת</w:t>
      </w:r>
      <w:r>
        <w:rPr>
          <w:rtl/>
        </w:rPr>
        <w:t xml:space="preserve"> </w:t>
      </w:r>
      <w:r>
        <w:rPr>
          <w:rFonts w:hint="eastAsia"/>
          <w:rtl/>
        </w:rPr>
        <w:t>שקבוצת</w:t>
      </w:r>
      <w:r>
        <w:rPr>
          <w:rtl/>
        </w:rPr>
        <w:t xml:space="preserve"> </w:t>
      </w:r>
      <w:r>
        <w:rPr>
          <w:rFonts w:hint="eastAsia"/>
          <w:rtl/>
        </w:rPr>
        <w:t>הליכוד</w:t>
      </w:r>
      <w:r>
        <w:rPr>
          <w:rtl/>
        </w:rPr>
        <w:t xml:space="preserve"> </w:t>
      </w:r>
      <w:r>
        <w:rPr>
          <w:rFonts w:hint="eastAsia"/>
          <w:rtl/>
        </w:rPr>
        <w:t>מקבלת</w:t>
      </w:r>
      <w:r>
        <w:rPr>
          <w:rtl/>
        </w:rPr>
        <w:t xml:space="preserve"> </w:t>
      </w:r>
      <w:r>
        <w:rPr>
          <w:rFonts w:hint="eastAsia"/>
          <w:rtl/>
        </w:rPr>
        <w:t>על</w:t>
      </w:r>
      <w:r>
        <w:rPr>
          <w:rtl/>
        </w:rPr>
        <w:t xml:space="preserve"> </w:t>
      </w:r>
      <w:r>
        <w:rPr>
          <w:rFonts w:hint="eastAsia"/>
          <w:rtl/>
        </w:rPr>
        <w:t>הצעת</w:t>
      </w:r>
      <w:r>
        <w:rPr>
          <w:rtl/>
        </w:rPr>
        <w:t xml:space="preserve"> </w:t>
      </w:r>
      <w:r>
        <w:rPr>
          <w:rFonts w:hint="eastAsia"/>
          <w:rtl/>
        </w:rPr>
        <w:t>החוק</w:t>
      </w:r>
      <w:r>
        <w:rPr>
          <w:rtl/>
        </w:rPr>
        <w:t xml:space="preserve"> </w:t>
      </w:r>
      <w:r>
        <w:rPr>
          <w:rFonts w:hint="eastAsia"/>
          <w:rtl/>
        </w:rPr>
        <w:t>המאוד</w:t>
      </w:r>
      <w:r>
        <w:rPr>
          <w:rtl/>
        </w:rPr>
        <w:t xml:space="preserve"> </w:t>
      </w:r>
      <w:r>
        <w:rPr>
          <w:rFonts w:hint="eastAsia"/>
          <w:rtl/>
        </w:rPr>
        <w:t>מאוד</w:t>
      </w:r>
      <w:r>
        <w:rPr>
          <w:rtl/>
        </w:rPr>
        <w:t xml:space="preserve"> </w:t>
      </w:r>
      <w:r>
        <w:rPr>
          <w:rFonts w:hint="eastAsia"/>
          <w:rtl/>
        </w:rPr>
        <w:t>משונה</w:t>
      </w:r>
      <w:r>
        <w:rPr>
          <w:rtl/>
        </w:rPr>
        <w:t xml:space="preserve"> </w:t>
      </w:r>
      <w:r>
        <w:rPr>
          <w:rFonts w:hint="eastAsia"/>
          <w:rtl/>
        </w:rPr>
        <w:t>הזאת</w:t>
      </w:r>
      <w:r>
        <w:rPr>
          <w:rtl/>
        </w:rPr>
        <w:t xml:space="preserve"> </w:t>
      </w:r>
      <w:r>
        <w:rPr>
          <w:rFonts w:hint="eastAsia"/>
          <w:rtl/>
        </w:rPr>
        <w:t>אתם</w:t>
      </w:r>
      <w:r>
        <w:rPr>
          <w:rtl/>
        </w:rPr>
        <w:t xml:space="preserve"> </w:t>
      </w:r>
      <w:r>
        <w:rPr>
          <w:rFonts w:hint="eastAsia"/>
          <w:rtl/>
        </w:rPr>
        <w:t>תיקחו</w:t>
      </w:r>
      <w:r>
        <w:rPr>
          <w:rtl/>
        </w:rPr>
        <w:t xml:space="preserve"> </w:t>
      </w:r>
      <w:r>
        <w:rPr>
          <w:rFonts w:hint="eastAsia"/>
          <w:rtl/>
        </w:rPr>
        <w:t>צעד</w:t>
      </w:r>
      <w:r>
        <w:rPr>
          <w:rtl/>
        </w:rPr>
        <w:t xml:space="preserve"> </w:t>
      </w:r>
      <w:r>
        <w:rPr>
          <w:rFonts w:hint="eastAsia"/>
          <w:rtl/>
        </w:rPr>
        <w:t>אחורה</w:t>
      </w:r>
      <w:r>
        <w:rPr>
          <w:rtl/>
        </w:rPr>
        <w:t xml:space="preserve">, </w:t>
      </w:r>
      <w:r>
        <w:rPr>
          <w:rFonts w:hint="eastAsia"/>
          <w:rtl/>
        </w:rPr>
        <w:t>אבל</w:t>
      </w:r>
      <w:r>
        <w:rPr>
          <w:rtl/>
        </w:rPr>
        <w:t xml:space="preserve"> </w:t>
      </w:r>
      <w:r>
        <w:rPr>
          <w:rFonts w:hint="eastAsia"/>
          <w:rtl/>
        </w:rPr>
        <w:t>במקום</w:t>
      </w:r>
      <w:r>
        <w:rPr>
          <w:rtl/>
        </w:rPr>
        <w:t xml:space="preserve"> </w:t>
      </w:r>
      <w:r>
        <w:rPr>
          <w:rFonts w:hint="eastAsia"/>
          <w:rtl/>
        </w:rPr>
        <w:t>זה</w:t>
      </w:r>
      <w:r>
        <w:rPr>
          <w:rtl/>
        </w:rPr>
        <w:t xml:space="preserve"> </w:t>
      </w:r>
      <w:r>
        <w:rPr>
          <w:rFonts w:hint="eastAsia"/>
          <w:rtl/>
        </w:rPr>
        <w:t>אתם</w:t>
      </w:r>
      <w:r>
        <w:rPr>
          <w:rtl/>
        </w:rPr>
        <w:t xml:space="preserve"> </w:t>
      </w:r>
      <w:r>
        <w:rPr>
          <w:rFonts w:hint="eastAsia"/>
          <w:rtl/>
        </w:rPr>
        <w:t>מקצרים</w:t>
      </w:r>
      <w:r>
        <w:rPr>
          <w:rtl/>
        </w:rPr>
        <w:t xml:space="preserve"> </w:t>
      </w:r>
      <w:r>
        <w:rPr>
          <w:rFonts w:hint="eastAsia"/>
          <w:rtl/>
        </w:rPr>
        <w:t>את</w:t>
      </w:r>
      <w:r>
        <w:rPr>
          <w:rtl/>
        </w:rPr>
        <w:t xml:space="preserve"> </w:t>
      </w:r>
      <w:r>
        <w:rPr>
          <w:rFonts w:hint="eastAsia"/>
          <w:rtl/>
        </w:rPr>
        <w:t>ההליכים</w:t>
      </w:r>
      <w:r>
        <w:rPr>
          <w:rtl/>
        </w:rPr>
        <w:t xml:space="preserve">, </w:t>
      </w:r>
      <w:r>
        <w:rPr>
          <w:rFonts w:hint="eastAsia"/>
          <w:rtl/>
        </w:rPr>
        <w:t>מביאים</w:t>
      </w:r>
      <w:r>
        <w:rPr>
          <w:rtl/>
        </w:rPr>
        <w:t xml:space="preserve"> </w:t>
      </w:r>
      <w:r>
        <w:rPr>
          <w:rFonts w:hint="eastAsia"/>
          <w:rtl/>
        </w:rPr>
        <w:t>לוועדת</w:t>
      </w:r>
      <w:r>
        <w:rPr>
          <w:rtl/>
        </w:rPr>
        <w:t xml:space="preserve"> </w:t>
      </w:r>
      <w:r>
        <w:rPr>
          <w:rFonts w:hint="eastAsia"/>
          <w:rtl/>
        </w:rPr>
        <w:t>הכנסת</w:t>
      </w:r>
      <w:r>
        <w:rPr>
          <w:rtl/>
        </w:rPr>
        <w:t xml:space="preserve"> </w:t>
      </w:r>
      <w:r>
        <w:rPr>
          <w:rFonts w:hint="eastAsia"/>
          <w:rtl/>
        </w:rPr>
        <w:t>פטור</w:t>
      </w:r>
      <w:r>
        <w:rPr>
          <w:rtl/>
        </w:rPr>
        <w:t xml:space="preserve"> </w:t>
      </w:r>
      <w:r>
        <w:rPr>
          <w:rFonts w:hint="eastAsia"/>
          <w:rtl/>
        </w:rPr>
        <w:t>מחובת</w:t>
      </w:r>
      <w:r>
        <w:rPr>
          <w:rtl/>
        </w:rPr>
        <w:t xml:space="preserve"> </w:t>
      </w:r>
      <w:r>
        <w:rPr>
          <w:rFonts w:hint="eastAsia"/>
          <w:rtl/>
        </w:rPr>
        <w:t>הנחה</w:t>
      </w:r>
      <w:r>
        <w:rPr>
          <w:rtl/>
        </w:rPr>
        <w:t xml:space="preserve"> </w:t>
      </w:r>
      <w:r w:rsidRPr="005E6230">
        <w:rPr>
          <w:rFonts w:ascii="Century" w:hAnsi="Century" w:cs="Miriam" w:hint="eastAsia"/>
          <w:b/>
          <w:spacing w:val="0"/>
          <w:szCs w:val="24"/>
          <w:rtl/>
        </w:rPr>
        <w:t>כדי</w:t>
      </w:r>
      <w:r w:rsidRPr="005E6230">
        <w:rPr>
          <w:rFonts w:ascii="Century" w:hAnsi="Century" w:cs="Miriam"/>
          <w:b/>
          <w:spacing w:val="0"/>
          <w:szCs w:val="24"/>
          <w:rtl/>
        </w:rPr>
        <w:t xml:space="preserve"> </w:t>
      </w:r>
      <w:r w:rsidRPr="005E6230">
        <w:rPr>
          <w:rFonts w:ascii="Century" w:hAnsi="Century" w:cs="Miriam" w:hint="eastAsia"/>
          <w:b/>
          <w:spacing w:val="0"/>
          <w:szCs w:val="24"/>
          <w:rtl/>
        </w:rPr>
        <w:t>לעזור</w:t>
      </w:r>
      <w:r w:rsidRPr="005E6230">
        <w:rPr>
          <w:rFonts w:ascii="Century" w:hAnsi="Century" w:cs="Miriam"/>
          <w:b/>
          <w:spacing w:val="0"/>
          <w:szCs w:val="24"/>
          <w:rtl/>
        </w:rPr>
        <w:t xml:space="preserve"> </w:t>
      </w:r>
      <w:r w:rsidRPr="005E6230">
        <w:rPr>
          <w:rFonts w:ascii="Century" w:hAnsi="Century" w:cs="Miriam" w:hint="eastAsia"/>
          <w:b/>
          <w:spacing w:val="0"/>
          <w:szCs w:val="24"/>
          <w:rtl/>
        </w:rPr>
        <w:t>לבן</w:t>
      </w:r>
      <w:r w:rsidRPr="005E6230">
        <w:rPr>
          <w:rFonts w:ascii="Century" w:hAnsi="Century" w:cs="Miriam"/>
          <w:b/>
          <w:spacing w:val="0"/>
          <w:szCs w:val="24"/>
          <w:rtl/>
        </w:rPr>
        <w:t xml:space="preserve"> </w:t>
      </w:r>
      <w:r w:rsidRPr="005E6230">
        <w:rPr>
          <w:rFonts w:ascii="Century" w:hAnsi="Century" w:cs="Miriam" w:hint="eastAsia"/>
          <w:b/>
          <w:spacing w:val="0"/>
          <w:szCs w:val="24"/>
          <w:rtl/>
        </w:rPr>
        <w:t>אדם</w:t>
      </w:r>
      <w:r w:rsidRPr="005E6230">
        <w:rPr>
          <w:rFonts w:ascii="Century" w:hAnsi="Century" w:cs="Miriam"/>
          <w:b/>
          <w:spacing w:val="0"/>
          <w:szCs w:val="24"/>
          <w:rtl/>
        </w:rPr>
        <w:t xml:space="preserve"> </w:t>
      </w:r>
      <w:r w:rsidRPr="005E6230">
        <w:rPr>
          <w:rFonts w:ascii="Century" w:hAnsi="Century" w:cs="Miriam" w:hint="eastAsia"/>
          <w:b/>
          <w:spacing w:val="0"/>
          <w:szCs w:val="24"/>
          <w:rtl/>
        </w:rPr>
        <w:t>אחד</w:t>
      </w:r>
      <w:r>
        <w:rPr>
          <w:rtl/>
        </w:rPr>
        <w:t xml:space="preserve">. </w:t>
      </w:r>
      <w:r w:rsidRPr="005E6230">
        <w:rPr>
          <w:rFonts w:ascii="Century" w:hAnsi="Century" w:cs="Miriam" w:hint="eastAsia"/>
          <w:b/>
          <w:spacing w:val="0"/>
          <w:szCs w:val="24"/>
          <w:rtl/>
        </w:rPr>
        <w:t>יש</w:t>
      </w:r>
      <w:r w:rsidRPr="005E6230">
        <w:rPr>
          <w:rFonts w:ascii="Century" w:hAnsi="Century" w:cs="Miriam"/>
          <w:b/>
          <w:spacing w:val="0"/>
          <w:szCs w:val="24"/>
          <w:rtl/>
        </w:rPr>
        <w:t xml:space="preserve"> </w:t>
      </w:r>
      <w:r w:rsidRPr="005E6230">
        <w:rPr>
          <w:rFonts w:ascii="Century" w:hAnsi="Century" w:cs="Miriam" w:hint="eastAsia"/>
          <w:b/>
          <w:spacing w:val="0"/>
          <w:szCs w:val="24"/>
          <w:rtl/>
        </w:rPr>
        <w:t>כללים</w:t>
      </w:r>
      <w:r w:rsidRPr="005E6230">
        <w:rPr>
          <w:rFonts w:ascii="Century" w:hAnsi="Century" w:cs="Miriam"/>
          <w:b/>
          <w:spacing w:val="0"/>
          <w:szCs w:val="24"/>
          <w:rtl/>
        </w:rPr>
        <w:t xml:space="preserve"> </w:t>
      </w:r>
      <w:r w:rsidRPr="005E6230">
        <w:rPr>
          <w:rFonts w:ascii="Century" w:hAnsi="Century" w:cs="Miriam" w:hint="eastAsia"/>
          <w:b/>
          <w:spacing w:val="0"/>
          <w:szCs w:val="24"/>
          <w:rtl/>
        </w:rPr>
        <w:t>בחקיקה</w:t>
      </w:r>
      <w:r w:rsidRPr="005E6230">
        <w:rPr>
          <w:rFonts w:ascii="Century" w:hAnsi="Century" w:cs="Miriam"/>
          <w:b/>
          <w:spacing w:val="0"/>
          <w:szCs w:val="24"/>
          <w:rtl/>
        </w:rPr>
        <w:t xml:space="preserve"> </w:t>
      </w:r>
      <w:r w:rsidRPr="005E6230">
        <w:rPr>
          <w:rFonts w:ascii="Century" w:hAnsi="Century" w:cs="Miriam" w:hint="eastAsia"/>
          <w:b/>
          <w:spacing w:val="0"/>
          <w:szCs w:val="24"/>
          <w:rtl/>
        </w:rPr>
        <w:t>שנועדו</w:t>
      </w:r>
      <w:r w:rsidRPr="005E6230">
        <w:rPr>
          <w:rFonts w:ascii="Century" w:hAnsi="Century" w:cs="Miriam"/>
          <w:b/>
          <w:spacing w:val="0"/>
          <w:szCs w:val="24"/>
          <w:rtl/>
        </w:rPr>
        <w:t xml:space="preserve"> </w:t>
      </w:r>
      <w:r w:rsidRPr="005E6230">
        <w:rPr>
          <w:rFonts w:ascii="Century" w:hAnsi="Century" w:cs="Miriam" w:hint="eastAsia"/>
          <w:b/>
          <w:spacing w:val="0"/>
          <w:szCs w:val="24"/>
          <w:rtl/>
        </w:rPr>
        <w:t>בראש</w:t>
      </w:r>
      <w:r w:rsidRPr="005E6230">
        <w:rPr>
          <w:rFonts w:ascii="Century" w:hAnsi="Century" w:cs="Miriam"/>
          <w:b/>
          <w:spacing w:val="0"/>
          <w:szCs w:val="24"/>
          <w:rtl/>
        </w:rPr>
        <w:t xml:space="preserve"> </w:t>
      </w:r>
      <w:r w:rsidRPr="005E6230">
        <w:rPr>
          <w:rFonts w:ascii="Century" w:hAnsi="Century" w:cs="Miriam" w:hint="eastAsia"/>
          <w:b/>
          <w:spacing w:val="0"/>
          <w:szCs w:val="24"/>
          <w:rtl/>
        </w:rPr>
        <w:t>וראשונה</w:t>
      </w:r>
      <w:r w:rsidRPr="005E6230">
        <w:rPr>
          <w:rFonts w:ascii="Century" w:hAnsi="Century" w:cs="Miriam"/>
          <w:b/>
          <w:spacing w:val="0"/>
          <w:szCs w:val="24"/>
          <w:rtl/>
        </w:rPr>
        <w:t xml:space="preserve"> </w:t>
      </w:r>
      <w:r w:rsidRPr="005E6230">
        <w:rPr>
          <w:rFonts w:ascii="Century" w:hAnsi="Century" w:cs="Miriam" w:hint="eastAsia"/>
          <w:b/>
          <w:spacing w:val="0"/>
          <w:szCs w:val="24"/>
          <w:rtl/>
        </w:rPr>
        <w:t>ליצור</w:t>
      </w:r>
      <w:r w:rsidRPr="005E6230">
        <w:rPr>
          <w:rFonts w:ascii="Century" w:hAnsi="Century" w:cs="Miriam"/>
          <w:b/>
          <w:spacing w:val="0"/>
          <w:szCs w:val="24"/>
          <w:rtl/>
        </w:rPr>
        <w:t xml:space="preserve"> </w:t>
      </w:r>
      <w:r w:rsidRPr="005E6230">
        <w:rPr>
          <w:rFonts w:ascii="Century" w:hAnsi="Century" w:cs="Miriam" w:hint="eastAsia"/>
          <w:b/>
          <w:spacing w:val="0"/>
          <w:szCs w:val="24"/>
          <w:rtl/>
        </w:rPr>
        <w:t>שוויון</w:t>
      </w:r>
      <w:r w:rsidRPr="005E6230">
        <w:rPr>
          <w:rFonts w:ascii="Century" w:hAnsi="Century" w:cs="Miriam"/>
          <w:b/>
          <w:spacing w:val="0"/>
          <w:szCs w:val="24"/>
          <w:rtl/>
        </w:rPr>
        <w:t xml:space="preserve"> </w:t>
      </w:r>
      <w:r w:rsidRPr="005E6230">
        <w:rPr>
          <w:rFonts w:ascii="Century" w:hAnsi="Century" w:cs="Miriam" w:hint="eastAsia"/>
          <w:b/>
          <w:spacing w:val="0"/>
          <w:szCs w:val="24"/>
          <w:rtl/>
        </w:rPr>
        <w:t>בין</w:t>
      </w:r>
      <w:r w:rsidRPr="005E6230">
        <w:rPr>
          <w:rFonts w:ascii="Century" w:hAnsi="Century" w:cs="Miriam"/>
          <w:b/>
          <w:spacing w:val="0"/>
          <w:szCs w:val="24"/>
          <w:rtl/>
        </w:rPr>
        <w:t xml:space="preserve"> </w:t>
      </w:r>
      <w:r w:rsidRPr="005E6230">
        <w:rPr>
          <w:rFonts w:ascii="Century" w:hAnsi="Century" w:cs="Miriam" w:hint="eastAsia"/>
          <w:b/>
          <w:spacing w:val="0"/>
          <w:szCs w:val="24"/>
          <w:rtl/>
        </w:rPr>
        <w:t>אזרחי</w:t>
      </w:r>
      <w:r w:rsidRPr="005E6230">
        <w:rPr>
          <w:rFonts w:ascii="Century" w:hAnsi="Century" w:cs="Miriam"/>
          <w:b/>
          <w:spacing w:val="0"/>
          <w:szCs w:val="24"/>
          <w:rtl/>
        </w:rPr>
        <w:t xml:space="preserve"> </w:t>
      </w:r>
      <w:r w:rsidRPr="005E6230">
        <w:rPr>
          <w:rFonts w:ascii="Century" w:hAnsi="Century" w:cs="Miriam" w:hint="eastAsia"/>
          <w:b/>
          <w:spacing w:val="0"/>
          <w:szCs w:val="24"/>
          <w:rtl/>
        </w:rPr>
        <w:t>מדינת</w:t>
      </w:r>
      <w:r w:rsidRPr="005E6230">
        <w:rPr>
          <w:rFonts w:ascii="Century" w:hAnsi="Century" w:cs="Miriam"/>
          <w:b/>
          <w:spacing w:val="0"/>
          <w:szCs w:val="24"/>
          <w:rtl/>
        </w:rPr>
        <w:t xml:space="preserve"> </w:t>
      </w:r>
      <w:r w:rsidRPr="005E6230">
        <w:rPr>
          <w:rFonts w:ascii="Century" w:hAnsi="Century" w:cs="Miriam" w:hint="eastAsia"/>
          <w:b/>
          <w:spacing w:val="0"/>
          <w:szCs w:val="24"/>
          <w:rtl/>
        </w:rPr>
        <w:t>ישראל</w:t>
      </w:r>
      <w:r w:rsidRPr="005E6230">
        <w:rPr>
          <w:rFonts w:ascii="Century" w:hAnsi="Century" w:cs="Miriam"/>
          <w:b/>
          <w:spacing w:val="0"/>
          <w:szCs w:val="24"/>
          <w:rtl/>
        </w:rPr>
        <w:t>.</w:t>
      </w:r>
      <w:r>
        <w:rPr>
          <w:rtl/>
        </w:rPr>
        <w:t xml:space="preserve"> </w:t>
      </w:r>
      <w:r>
        <w:rPr>
          <w:rFonts w:hint="eastAsia"/>
          <w:rtl/>
        </w:rPr>
        <w:t>עם</w:t>
      </w:r>
      <w:r>
        <w:rPr>
          <w:rtl/>
        </w:rPr>
        <w:t xml:space="preserve"> </w:t>
      </w:r>
      <w:r>
        <w:rPr>
          <w:rFonts w:hint="eastAsia"/>
          <w:rtl/>
        </w:rPr>
        <w:t>כל</w:t>
      </w:r>
      <w:r>
        <w:rPr>
          <w:rtl/>
        </w:rPr>
        <w:t xml:space="preserve"> </w:t>
      </w:r>
      <w:r>
        <w:rPr>
          <w:rFonts w:hint="eastAsia"/>
          <w:rtl/>
        </w:rPr>
        <w:t>הכבוד</w:t>
      </w:r>
      <w:r>
        <w:rPr>
          <w:rtl/>
        </w:rPr>
        <w:t xml:space="preserve"> </w:t>
      </w:r>
      <w:r>
        <w:rPr>
          <w:rFonts w:hint="eastAsia"/>
          <w:rtl/>
        </w:rPr>
        <w:t>לליכוד</w:t>
      </w:r>
      <w:r>
        <w:rPr>
          <w:rtl/>
        </w:rPr>
        <w:t xml:space="preserve">, </w:t>
      </w:r>
      <w:r>
        <w:rPr>
          <w:rFonts w:hint="eastAsia"/>
          <w:rtl/>
        </w:rPr>
        <w:t>עם</w:t>
      </w:r>
      <w:r>
        <w:rPr>
          <w:rtl/>
        </w:rPr>
        <w:t xml:space="preserve"> </w:t>
      </w:r>
      <w:r>
        <w:rPr>
          <w:rFonts w:hint="eastAsia"/>
          <w:rtl/>
        </w:rPr>
        <w:t>כל</w:t>
      </w:r>
      <w:r>
        <w:rPr>
          <w:rtl/>
        </w:rPr>
        <w:t xml:space="preserve"> </w:t>
      </w:r>
      <w:r>
        <w:rPr>
          <w:rFonts w:hint="eastAsia"/>
          <w:rtl/>
        </w:rPr>
        <w:t>הכבוד</w:t>
      </w:r>
      <w:r>
        <w:rPr>
          <w:rtl/>
        </w:rPr>
        <w:t xml:space="preserve"> </w:t>
      </w:r>
      <w:r>
        <w:rPr>
          <w:rFonts w:hint="eastAsia"/>
          <w:rtl/>
        </w:rPr>
        <w:t>לחברי</w:t>
      </w:r>
      <w:r>
        <w:rPr>
          <w:rtl/>
        </w:rPr>
        <w:t xml:space="preserve"> </w:t>
      </w:r>
      <w:r>
        <w:rPr>
          <w:rFonts w:hint="eastAsia"/>
          <w:rtl/>
        </w:rPr>
        <w:t>לסיעה</w:t>
      </w:r>
      <w:r>
        <w:rPr>
          <w:rtl/>
        </w:rPr>
        <w:t xml:space="preserve"> </w:t>
      </w:r>
      <w:r>
        <w:rPr>
          <w:rFonts w:hint="eastAsia"/>
          <w:rtl/>
        </w:rPr>
        <w:t>ולקואליציה</w:t>
      </w:r>
      <w:r>
        <w:rPr>
          <w:rtl/>
        </w:rPr>
        <w:t xml:space="preserve">, </w:t>
      </w:r>
      <w:r>
        <w:rPr>
          <w:rFonts w:hint="eastAsia"/>
          <w:rtl/>
        </w:rPr>
        <w:t>אני</w:t>
      </w:r>
      <w:r>
        <w:rPr>
          <w:rtl/>
        </w:rPr>
        <w:t xml:space="preserve"> </w:t>
      </w:r>
      <w:r>
        <w:rPr>
          <w:rFonts w:hint="eastAsia"/>
          <w:rtl/>
        </w:rPr>
        <w:t>לא</w:t>
      </w:r>
      <w:r>
        <w:rPr>
          <w:rtl/>
        </w:rPr>
        <w:t xml:space="preserve"> </w:t>
      </w:r>
      <w:r>
        <w:rPr>
          <w:rFonts w:hint="eastAsia"/>
          <w:rtl/>
        </w:rPr>
        <w:t>עומדת</w:t>
      </w:r>
      <w:r>
        <w:rPr>
          <w:rtl/>
        </w:rPr>
        <w:t xml:space="preserve"> </w:t>
      </w:r>
      <w:r>
        <w:rPr>
          <w:rFonts w:hint="eastAsia"/>
          <w:rtl/>
        </w:rPr>
        <w:t>מנגד</w:t>
      </w:r>
      <w:r>
        <w:rPr>
          <w:rtl/>
        </w:rPr>
        <w:t xml:space="preserve">. </w:t>
      </w:r>
      <w:r>
        <w:rPr>
          <w:rFonts w:hint="eastAsia"/>
          <w:rtl/>
        </w:rPr>
        <w:t>אני</w:t>
      </w:r>
      <w:r>
        <w:rPr>
          <w:rtl/>
        </w:rPr>
        <w:t xml:space="preserve"> </w:t>
      </w:r>
      <w:r>
        <w:rPr>
          <w:rFonts w:hint="eastAsia"/>
          <w:rtl/>
        </w:rPr>
        <w:t>לא</w:t>
      </w:r>
      <w:r>
        <w:rPr>
          <w:rtl/>
        </w:rPr>
        <w:t xml:space="preserve"> </w:t>
      </w:r>
      <w:r>
        <w:rPr>
          <w:rFonts w:hint="eastAsia"/>
          <w:rtl/>
        </w:rPr>
        <w:t>מצביעה</w:t>
      </w:r>
      <w:r>
        <w:rPr>
          <w:rtl/>
        </w:rPr>
        <w:t xml:space="preserve"> </w:t>
      </w:r>
      <w:r>
        <w:rPr>
          <w:rFonts w:hint="eastAsia"/>
          <w:rtl/>
        </w:rPr>
        <w:t>פה</w:t>
      </w:r>
      <w:r>
        <w:rPr>
          <w:rtl/>
        </w:rPr>
        <w:t xml:space="preserve"> </w:t>
      </w:r>
      <w:r>
        <w:rPr>
          <w:rFonts w:hint="eastAsia"/>
          <w:rtl/>
        </w:rPr>
        <w:t>בוועדה</w:t>
      </w:r>
      <w:r>
        <w:rPr>
          <w:rtl/>
        </w:rPr>
        <w:t xml:space="preserve">, </w:t>
      </w:r>
      <w:r>
        <w:rPr>
          <w:rFonts w:hint="eastAsia"/>
          <w:rtl/>
        </w:rPr>
        <w:t>לכן</w:t>
      </w:r>
      <w:r>
        <w:rPr>
          <w:rtl/>
        </w:rPr>
        <w:t xml:space="preserve"> </w:t>
      </w:r>
      <w:r>
        <w:rPr>
          <w:rFonts w:hint="eastAsia"/>
          <w:rtl/>
        </w:rPr>
        <w:t>אני</w:t>
      </w:r>
      <w:r>
        <w:rPr>
          <w:rtl/>
        </w:rPr>
        <w:t xml:space="preserve"> </w:t>
      </w:r>
      <w:r>
        <w:rPr>
          <w:rFonts w:hint="eastAsia"/>
          <w:rtl/>
        </w:rPr>
        <w:t>קוראת</w:t>
      </w:r>
      <w:r>
        <w:rPr>
          <w:rtl/>
        </w:rPr>
        <w:t xml:space="preserve"> </w:t>
      </w:r>
      <w:r>
        <w:rPr>
          <w:rFonts w:hint="eastAsia"/>
          <w:rtl/>
        </w:rPr>
        <w:t>לחברי</w:t>
      </w:r>
      <w:r>
        <w:rPr>
          <w:rtl/>
        </w:rPr>
        <w:t xml:space="preserve"> </w:t>
      </w:r>
      <w:r>
        <w:rPr>
          <w:rFonts w:hint="eastAsia"/>
          <w:rtl/>
        </w:rPr>
        <w:t>הליכוד</w:t>
      </w:r>
      <w:r>
        <w:rPr>
          <w:rtl/>
        </w:rPr>
        <w:t xml:space="preserve"> </w:t>
      </w:r>
      <w:r>
        <w:rPr>
          <w:rFonts w:hint="eastAsia"/>
          <w:rtl/>
        </w:rPr>
        <w:t>להתעשת</w:t>
      </w:r>
      <w:r>
        <w:rPr>
          <w:rtl/>
        </w:rPr>
        <w:t xml:space="preserve"> </w:t>
      </w:r>
      <w:r>
        <w:rPr>
          <w:rFonts w:hint="eastAsia"/>
          <w:rtl/>
        </w:rPr>
        <w:t>ולזכור</w:t>
      </w:r>
      <w:r>
        <w:rPr>
          <w:rtl/>
        </w:rPr>
        <w:t xml:space="preserve"> </w:t>
      </w:r>
      <w:r>
        <w:rPr>
          <w:rFonts w:hint="eastAsia"/>
          <w:rtl/>
        </w:rPr>
        <w:t>שאף</w:t>
      </w:r>
      <w:r>
        <w:rPr>
          <w:rtl/>
        </w:rPr>
        <w:t xml:space="preserve"> </w:t>
      </w:r>
      <w:r>
        <w:rPr>
          <w:rFonts w:hint="eastAsia"/>
          <w:rtl/>
        </w:rPr>
        <w:t>אחד</w:t>
      </w:r>
      <w:r>
        <w:rPr>
          <w:rtl/>
        </w:rPr>
        <w:t xml:space="preserve"> </w:t>
      </w:r>
      <w:r>
        <w:rPr>
          <w:rFonts w:hint="eastAsia"/>
          <w:rtl/>
        </w:rPr>
        <w:t>אסור</w:t>
      </w:r>
      <w:r>
        <w:rPr>
          <w:rtl/>
        </w:rPr>
        <w:t xml:space="preserve"> </w:t>
      </w:r>
      <w:r>
        <w:rPr>
          <w:rFonts w:hint="eastAsia"/>
          <w:rtl/>
        </w:rPr>
        <w:t>שיהיה</w:t>
      </w:r>
      <w:r>
        <w:rPr>
          <w:rtl/>
        </w:rPr>
        <w:t xml:space="preserve"> </w:t>
      </w:r>
      <w:r>
        <w:rPr>
          <w:rFonts w:hint="eastAsia"/>
          <w:rtl/>
        </w:rPr>
        <w:t>נגוע</w:t>
      </w:r>
      <w:r>
        <w:rPr>
          <w:rtl/>
        </w:rPr>
        <w:t xml:space="preserve"> </w:t>
      </w:r>
      <w:r>
        <w:rPr>
          <w:rFonts w:hint="eastAsia"/>
          <w:rtl/>
        </w:rPr>
        <w:t>בפגיעה</w:t>
      </w:r>
      <w:r>
        <w:rPr>
          <w:rtl/>
        </w:rPr>
        <w:t xml:space="preserve"> </w:t>
      </w:r>
      <w:r>
        <w:rPr>
          <w:rFonts w:hint="eastAsia"/>
          <w:rtl/>
        </w:rPr>
        <w:t>קשה</w:t>
      </w:r>
      <w:r>
        <w:rPr>
          <w:rtl/>
        </w:rPr>
        <w:t xml:space="preserve"> </w:t>
      </w:r>
      <w:r>
        <w:rPr>
          <w:rFonts w:hint="eastAsia"/>
          <w:rtl/>
        </w:rPr>
        <w:t>בניקיון</w:t>
      </w:r>
      <w:r>
        <w:rPr>
          <w:rtl/>
        </w:rPr>
        <w:t xml:space="preserve"> </w:t>
      </w:r>
      <w:r>
        <w:rPr>
          <w:rFonts w:hint="eastAsia"/>
          <w:rtl/>
        </w:rPr>
        <w:t>כפיים</w:t>
      </w:r>
      <w:r>
        <w:rPr>
          <w:rtl/>
        </w:rPr>
        <w:t xml:space="preserve">. </w:t>
      </w:r>
      <w:r>
        <w:rPr>
          <w:rFonts w:hint="eastAsia"/>
          <w:rtl/>
        </w:rPr>
        <w:t>אני</w:t>
      </w:r>
      <w:r>
        <w:rPr>
          <w:rtl/>
        </w:rPr>
        <w:t xml:space="preserve"> </w:t>
      </w:r>
      <w:r>
        <w:rPr>
          <w:rFonts w:hint="eastAsia"/>
          <w:rtl/>
        </w:rPr>
        <w:t>אומרת</w:t>
      </w:r>
      <w:r>
        <w:rPr>
          <w:rtl/>
        </w:rPr>
        <w:t xml:space="preserve"> </w:t>
      </w:r>
      <w:r>
        <w:rPr>
          <w:rFonts w:hint="eastAsia"/>
          <w:rtl/>
        </w:rPr>
        <w:t>בכל</w:t>
      </w:r>
      <w:r>
        <w:rPr>
          <w:rtl/>
        </w:rPr>
        <w:t xml:space="preserve"> </w:t>
      </w:r>
      <w:r>
        <w:rPr>
          <w:rFonts w:hint="eastAsia"/>
          <w:rtl/>
        </w:rPr>
        <w:t>לשון</w:t>
      </w:r>
      <w:r>
        <w:rPr>
          <w:rtl/>
        </w:rPr>
        <w:t xml:space="preserve"> </w:t>
      </w:r>
      <w:r>
        <w:rPr>
          <w:rFonts w:hint="eastAsia"/>
          <w:rtl/>
        </w:rPr>
        <w:t>של</w:t>
      </w:r>
      <w:r>
        <w:rPr>
          <w:rtl/>
        </w:rPr>
        <w:t xml:space="preserve"> </w:t>
      </w:r>
      <w:r>
        <w:rPr>
          <w:rFonts w:hint="eastAsia"/>
          <w:rtl/>
        </w:rPr>
        <w:t>בקשה</w:t>
      </w:r>
      <w:r>
        <w:rPr>
          <w:rtl/>
        </w:rPr>
        <w:t xml:space="preserve">, </w:t>
      </w:r>
      <w:r>
        <w:rPr>
          <w:rFonts w:hint="eastAsia"/>
          <w:rtl/>
        </w:rPr>
        <w:t>אל</w:t>
      </w:r>
      <w:r>
        <w:rPr>
          <w:rtl/>
        </w:rPr>
        <w:t xml:space="preserve"> </w:t>
      </w:r>
      <w:r>
        <w:rPr>
          <w:rFonts w:hint="eastAsia"/>
          <w:rtl/>
        </w:rPr>
        <w:t>תצביעו</w:t>
      </w:r>
      <w:r>
        <w:rPr>
          <w:rtl/>
        </w:rPr>
        <w:t xml:space="preserve"> </w:t>
      </w:r>
      <w:r>
        <w:rPr>
          <w:rFonts w:hint="eastAsia"/>
          <w:rtl/>
        </w:rPr>
        <w:t>על</w:t>
      </w:r>
      <w:r>
        <w:rPr>
          <w:rtl/>
        </w:rPr>
        <w:t xml:space="preserve"> </w:t>
      </w:r>
      <w:r>
        <w:rPr>
          <w:rFonts w:hint="eastAsia"/>
          <w:rtl/>
        </w:rPr>
        <w:t>החוק</w:t>
      </w:r>
      <w:r>
        <w:rPr>
          <w:rtl/>
        </w:rPr>
        <w:t xml:space="preserve"> </w:t>
      </w:r>
      <w:r>
        <w:rPr>
          <w:rFonts w:hint="eastAsia"/>
          <w:rtl/>
        </w:rPr>
        <w:t>הזה</w:t>
      </w:r>
      <w:r>
        <w:rPr>
          <w:rtl/>
        </w:rPr>
        <w:t xml:space="preserve">. </w:t>
      </w:r>
      <w:r>
        <w:rPr>
          <w:rFonts w:hint="eastAsia"/>
          <w:rtl/>
        </w:rPr>
        <w:t>לא</w:t>
      </w:r>
      <w:r>
        <w:rPr>
          <w:rtl/>
        </w:rPr>
        <w:t xml:space="preserve"> </w:t>
      </w:r>
      <w:r>
        <w:rPr>
          <w:rFonts w:hint="eastAsia"/>
          <w:rtl/>
        </w:rPr>
        <w:t>סתם</w:t>
      </w:r>
      <w:r>
        <w:rPr>
          <w:rtl/>
        </w:rPr>
        <w:t xml:space="preserve"> </w:t>
      </w:r>
      <w:r>
        <w:rPr>
          <w:rFonts w:hint="eastAsia"/>
          <w:rtl/>
        </w:rPr>
        <w:t>לא</w:t>
      </w:r>
      <w:r>
        <w:rPr>
          <w:rtl/>
        </w:rPr>
        <w:t xml:space="preserve"> </w:t>
      </w:r>
      <w:r>
        <w:rPr>
          <w:rFonts w:hint="eastAsia"/>
          <w:rtl/>
        </w:rPr>
        <w:t>הצביעו</w:t>
      </w:r>
      <w:r>
        <w:rPr>
          <w:rtl/>
        </w:rPr>
        <w:t xml:space="preserve"> </w:t>
      </w:r>
      <w:r>
        <w:rPr>
          <w:rFonts w:hint="eastAsia"/>
          <w:rtl/>
        </w:rPr>
        <w:t>על</w:t>
      </w:r>
      <w:r>
        <w:rPr>
          <w:rtl/>
        </w:rPr>
        <w:t xml:space="preserve"> </w:t>
      </w:r>
      <w:r>
        <w:rPr>
          <w:rFonts w:hint="eastAsia"/>
          <w:rtl/>
        </w:rPr>
        <w:t>החוק</w:t>
      </w:r>
      <w:r>
        <w:rPr>
          <w:rtl/>
        </w:rPr>
        <w:t xml:space="preserve"> </w:t>
      </w:r>
      <w:r>
        <w:rPr>
          <w:rFonts w:hint="eastAsia"/>
          <w:rtl/>
        </w:rPr>
        <w:t>הזה</w:t>
      </w:r>
      <w:r>
        <w:rPr>
          <w:rtl/>
        </w:rPr>
        <w:t xml:space="preserve"> </w:t>
      </w:r>
      <w:r>
        <w:rPr>
          <w:rFonts w:hint="eastAsia"/>
          <w:rtl/>
        </w:rPr>
        <w:t>בוועדת</w:t>
      </w:r>
      <w:r>
        <w:rPr>
          <w:rtl/>
        </w:rPr>
        <w:t xml:space="preserve"> </w:t>
      </w:r>
      <w:r>
        <w:rPr>
          <w:rFonts w:hint="eastAsia"/>
          <w:rtl/>
        </w:rPr>
        <w:t>שרים</w:t>
      </w:r>
      <w:r>
        <w:rPr>
          <w:rtl/>
        </w:rPr>
        <w:t xml:space="preserve">. </w:t>
      </w:r>
      <w:r>
        <w:rPr>
          <w:rFonts w:hint="eastAsia"/>
          <w:rtl/>
        </w:rPr>
        <w:t>אני</w:t>
      </w:r>
      <w:r>
        <w:rPr>
          <w:rtl/>
        </w:rPr>
        <w:t xml:space="preserve"> </w:t>
      </w:r>
      <w:r>
        <w:rPr>
          <w:rFonts w:hint="eastAsia"/>
          <w:rtl/>
        </w:rPr>
        <w:t>יודעת</w:t>
      </w:r>
      <w:r>
        <w:rPr>
          <w:rtl/>
        </w:rPr>
        <w:t xml:space="preserve"> </w:t>
      </w:r>
      <w:r>
        <w:rPr>
          <w:rFonts w:hint="eastAsia"/>
          <w:rtl/>
        </w:rPr>
        <w:t>שאני</w:t>
      </w:r>
      <w:r>
        <w:rPr>
          <w:rtl/>
        </w:rPr>
        <w:t xml:space="preserve"> </w:t>
      </w:r>
      <w:r>
        <w:rPr>
          <w:rFonts w:hint="eastAsia"/>
          <w:rtl/>
        </w:rPr>
        <w:t>משלמת</w:t>
      </w:r>
      <w:r>
        <w:rPr>
          <w:rtl/>
        </w:rPr>
        <w:t xml:space="preserve"> </w:t>
      </w:r>
      <w:r>
        <w:rPr>
          <w:rFonts w:hint="eastAsia"/>
          <w:rtl/>
        </w:rPr>
        <w:t>מחירים</w:t>
      </w:r>
      <w:r>
        <w:rPr>
          <w:rFonts w:hint="cs"/>
          <w:rtl/>
        </w:rPr>
        <w:t xml:space="preserve"> </w:t>
      </w:r>
      <w:r>
        <w:rPr>
          <w:rFonts w:hint="eastAsia"/>
          <w:rtl/>
        </w:rPr>
        <w:t>אישיים</w:t>
      </w:r>
      <w:r>
        <w:rPr>
          <w:rtl/>
        </w:rPr>
        <w:t xml:space="preserve"> </w:t>
      </w:r>
      <w:r>
        <w:rPr>
          <w:rFonts w:hint="eastAsia"/>
          <w:rtl/>
        </w:rPr>
        <w:t>על</w:t>
      </w:r>
      <w:r>
        <w:rPr>
          <w:rtl/>
        </w:rPr>
        <w:t xml:space="preserve"> </w:t>
      </w:r>
      <w:r>
        <w:rPr>
          <w:rFonts w:hint="eastAsia"/>
          <w:rtl/>
        </w:rPr>
        <w:t>כך</w:t>
      </w:r>
      <w:r>
        <w:rPr>
          <w:rtl/>
        </w:rPr>
        <w:t xml:space="preserve"> </w:t>
      </w:r>
      <w:r>
        <w:rPr>
          <w:rFonts w:hint="eastAsia"/>
          <w:rtl/>
        </w:rPr>
        <w:t>שאני</w:t>
      </w:r>
      <w:r>
        <w:rPr>
          <w:rtl/>
        </w:rPr>
        <w:t xml:space="preserve"> </w:t>
      </w:r>
      <w:r>
        <w:rPr>
          <w:rFonts w:hint="eastAsia"/>
          <w:rtl/>
        </w:rPr>
        <w:t>אומרת</w:t>
      </w:r>
      <w:r>
        <w:rPr>
          <w:rtl/>
        </w:rPr>
        <w:t xml:space="preserve"> </w:t>
      </w:r>
      <w:r>
        <w:rPr>
          <w:rFonts w:hint="eastAsia"/>
          <w:rtl/>
        </w:rPr>
        <w:t>את</w:t>
      </w:r>
      <w:r>
        <w:rPr>
          <w:rtl/>
        </w:rPr>
        <w:t xml:space="preserve"> </w:t>
      </w:r>
      <w:r>
        <w:rPr>
          <w:rFonts w:hint="eastAsia"/>
          <w:rtl/>
        </w:rPr>
        <w:t>הדברים</w:t>
      </w:r>
      <w:r>
        <w:rPr>
          <w:rtl/>
        </w:rPr>
        <w:t xml:space="preserve"> </w:t>
      </w:r>
      <w:r>
        <w:rPr>
          <w:rFonts w:hint="eastAsia"/>
          <w:rtl/>
        </w:rPr>
        <w:t>נכוחה</w:t>
      </w:r>
      <w:r>
        <w:rPr>
          <w:rtl/>
        </w:rPr>
        <w:t xml:space="preserve">, </w:t>
      </w:r>
      <w:r>
        <w:rPr>
          <w:rFonts w:hint="eastAsia"/>
          <w:rtl/>
        </w:rPr>
        <w:t>אבל</w:t>
      </w:r>
      <w:r>
        <w:rPr>
          <w:rtl/>
        </w:rPr>
        <w:t xml:space="preserve"> </w:t>
      </w:r>
      <w:r>
        <w:rPr>
          <w:rFonts w:hint="eastAsia"/>
          <w:rtl/>
        </w:rPr>
        <w:t>החוק</w:t>
      </w:r>
      <w:r>
        <w:rPr>
          <w:rtl/>
        </w:rPr>
        <w:t xml:space="preserve"> </w:t>
      </w:r>
      <w:r>
        <w:rPr>
          <w:rFonts w:hint="eastAsia"/>
          <w:rtl/>
        </w:rPr>
        <w:t>הזה</w:t>
      </w:r>
      <w:r>
        <w:rPr>
          <w:rtl/>
        </w:rPr>
        <w:t xml:space="preserve"> </w:t>
      </w:r>
      <w:r>
        <w:rPr>
          <w:rFonts w:hint="eastAsia"/>
          <w:rtl/>
        </w:rPr>
        <w:t>לא</w:t>
      </w:r>
      <w:r>
        <w:rPr>
          <w:rtl/>
        </w:rPr>
        <w:t xml:space="preserve"> </w:t>
      </w:r>
      <w:r>
        <w:rPr>
          <w:rFonts w:hint="eastAsia"/>
          <w:rtl/>
        </w:rPr>
        <w:t>מתאים</w:t>
      </w:r>
      <w:r>
        <w:rPr>
          <w:rtl/>
        </w:rPr>
        <w:t xml:space="preserve">, </w:t>
      </w:r>
      <w:r w:rsidRPr="005E6230">
        <w:rPr>
          <w:rFonts w:ascii="Century" w:hAnsi="Century" w:cs="Miriam" w:hint="eastAsia"/>
          <w:b/>
          <w:spacing w:val="0"/>
          <w:szCs w:val="24"/>
          <w:rtl/>
        </w:rPr>
        <w:t>החוק</w:t>
      </w:r>
      <w:r w:rsidRPr="005E6230">
        <w:rPr>
          <w:rFonts w:ascii="Century" w:hAnsi="Century" w:cs="Miriam"/>
          <w:b/>
          <w:spacing w:val="0"/>
          <w:szCs w:val="24"/>
          <w:rtl/>
        </w:rPr>
        <w:t xml:space="preserve"> </w:t>
      </w:r>
      <w:r w:rsidRPr="005E6230">
        <w:rPr>
          <w:rFonts w:ascii="Century" w:hAnsi="Century" w:cs="Miriam" w:hint="eastAsia"/>
          <w:b/>
          <w:spacing w:val="0"/>
          <w:szCs w:val="24"/>
          <w:rtl/>
        </w:rPr>
        <w:t>הזה</w:t>
      </w:r>
      <w:r w:rsidRPr="005E6230">
        <w:rPr>
          <w:rFonts w:ascii="Century" w:hAnsi="Century" w:cs="Miriam"/>
          <w:b/>
          <w:spacing w:val="0"/>
          <w:szCs w:val="24"/>
          <w:rtl/>
        </w:rPr>
        <w:t xml:space="preserve"> </w:t>
      </w:r>
      <w:r w:rsidRPr="005E6230">
        <w:rPr>
          <w:rFonts w:ascii="Century" w:hAnsi="Century" w:cs="Miriam" w:hint="eastAsia"/>
          <w:b/>
          <w:spacing w:val="0"/>
          <w:szCs w:val="24"/>
          <w:rtl/>
        </w:rPr>
        <w:t>לא</w:t>
      </w:r>
      <w:r w:rsidRPr="005E6230">
        <w:rPr>
          <w:rFonts w:ascii="Century" w:hAnsi="Century" w:cs="Miriam"/>
          <w:b/>
          <w:spacing w:val="0"/>
          <w:szCs w:val="24"/>
          <w:rtl/>
        </w:rPr>
        <w:t xml:space="preserve"> </w:t>
      </w:r>
      <w:r w:rsidRPr="005E6230">
        <w:rPr>
          <w:rFonts w:ascii="Century" w:hAnsi="Century" w:cs="Miriam" w:hint="eastAsia"/>
          <w:b/>
          <w:spacing w:val="0"/>
          <w:szCs w:val="24"/>
          <w:rtl/>
        </w:rPr>
        <w:t>ראוי</w:t>
      </w:r>
      <w:r>
        <w:rPr>
          <w:rtl/>
        </w:rPr>
        <w:t>.</w:t>
      </w:r>
      <w:r>
        <w:rPr>
          <w:rFonts w:hint="cs"/>
          <w:rtl/>
        </w:rPr>
        <w:t xml:space="preserve">" (ראו: פרוטוקול ועדת הכנסת מיום 5.6.2023, עמ' 11-10; ההדגשה הוספה </w:t>
      </w:r>
      <w:r>
        <w:rPr>
          <w:rtl/>
        </w:rPr>
        <w:t>–</w:t>
      </w:r>
      <w:r>
        <w:rPr>
          <w:rFonts w:hint="cs"/>
          <w:rtl/>
        </w:rPr>
        <w:t xml:space="preserve"> א.ש.).</w:t>
      </w:r>
    </w:p>
    <w:p w:rsidR="00553FDC" w:rsidRDefault="00553FDC" w:rsidP="00553FDC">
      <w:pPr>
        <w:pStyle w:val="Ruller4"/>
        <w:numPr>
          <w:ilvl w:val="0"/>
          <w:numId w:val="0"/>
        </w:numPr>
        <w:rPr>
          <w:rtl/>
        </w:rPr>
      </w:pPr>
    </w:p>
    <w:p w:rsidR="00553FDC" w:rsidRDefault="00553FDC" w:rsidP="00553FDC">
      <w:pPr>
        <w:pStyle w:val="Ruller4"/>
        <w:rPr>
          <w:rtl/>
        </w:rPr>
      </w:pPr>
      <w:r>
        <w:rPr>
          <w:rFonts w:hint="cs"/>
          <w:rtl/>
        </w:rPr>
        <w:t xml:space="preserve">סוף דבר: תחולתו של החוק המתקן על הבחירות הקרובות והמניע העיקרי שמאחוריו הופכים את החוק לחוק פרסונלי שהכנסת אינה מוסמכת לחוקק. מטעם זה, ועל-מנת לצמצם את התערבותנו במעשה חקיקה של הכנסת, סבורני </w:t>
      </w:r>
      <w:r>
        <w:rPr>
          <w:rtl/>
        </w:rPr>
        <w:t>–</w:t>
      </w:r>
      <w:r>
        <w:rPr>
          <w:rFonts w:hint="cs"/>
          <w:rtl/>
        </w:rPr>
        <w:t xml:space="preserve"> כפי שסבור חברי, ממלא-מקום הנשיא, כי טוב נעשה אם נדחה את תחולתו של החוק המתקן ליום שיפתח את תקופת הבחירות לרשויות המקומיות אשר תבואנה אחרי הבחירות הקרובות. דין העתירות להתקבל אפוא, כאמור בפסק דינו של חברי, ממלא-מקום הנשיא.</w:t>
      </w:r>
    </w:p>
    <w:p w:rsidR="00553FDC" w:rsidRDefault="00553FDC" w:rsidP="00553FDC">
      <w:pPr>
        <w:pStyle w:val="Ruller41"/>
        <w:rPr>
          <w:rtl/>
        </w:rPr>
      </w:pPr>
    </w:p>
    <w:p w:rsidR="00553FDC" w:rsidRPr="00AE7B75" w:rsidRDefault="00553FDC" w:rsidP="00553FDC">
      <w:pPr>
        <w:pStyle w:val="Ruller41"/>
        <w:rPr>
          <w:rFonts w:ascii="Century" w:hAnsi="Century" w:cs="Miriam"/>
          <w:b/>
          <w:spacing w:val="0"/>
          <w:szCs w:val="24"/>
          <w:rtl/>
        </w:rPr>
      </w:pPr>
      <w:r w:rsidRPr="00AE7B75">
        <w:rPr>
          <w:rFonts w:ascii="Century" w:hAnsi="Century" w:cs="Miriam" w:hint="cs"/>
          <w:b/>
          <w:spacing w:val="0"/>
          <w:szCs w:val="24"/>
          <w:rtl/>
        </w:rPr>
        <w:t>אחרית-דבר</w:t>
      </w:r>
    </w:p>
    <w:p w:rsidR="00553FDC" w:rsidRDefault="00553FDC" w:rsidP="00553FDC">
      <w:pPr>
        <w:pStyle w:val="Ruller41"/>
        <w:rPr>
          <w:rtl/>
        </w:rPr>
      </w:pPr>
    </w:p>
    <w:p w:rsidR="00553FDC" w:rsidRDefault="00553FDC" w:rsidP="00553FDC">
      <w:pPr>
        <w:pStyle w:val="Ruller4"/>
      </w:pPr>
      <w:r>
        <w:rPr>
          <w:rFonts w:hint="cs"/>
          <w:rtl/>
        </w:rPr>
        <w:t xml:space="preserve">בעקבות הדברים שנכתבו על ידי חבריי, ברצוני להוסיף מספר הבהרות לפסק דיני. </w:t>
      </w:r>
    </w:p>
    <w:p w:rsidR="00553FDC" w:rsidRDefault="00553FDC" w:rsidP="00553FDC">
      <w:pPr>
        <w:pStyle w:val="Ruller4"/>
        <w:numPr>
          <w:ilvl w:val="0"/>
          <w:numId w:val="0"/>
        </w:numPr>
      </w:pPr>
    </w:p>
    <w:p w:rsidR="00553FDC" w:rsidRPr="000854B5" w:rsidRDefault="00553FDC" w:rsidP="00553FDC">
      <w:pPr>
        <w:pStyle w:val="Ruller4"/>
      </w:pPr>
      <w:r>
        <w:rPr>
          <w:rFonts w:hint="cs"/>
          <w:rtl/>
        </w:rPr>
        <w:t xml:space="preserve">ראשית, אחזור ואציין את מחויבותי לכלל </w:t>
      </w:r>
      <w:r w:rsidRPr="00F20537">
        <w:rPr>
          <w:rFonts w:asciiTheme="majorBidi" w:hAnsiTheme="majorBidi" w:cstheme="majorBidi"/>
          <w:i/>
          <w:iCs/>
        </w:rPr>
        <w:t>Ashwander</w:t>
      </w:r>
      <w:r>
        <w:rPr>
          <w:rFonts w:hint="cs"/>
          <w:rtl/>
        </w:rPr>
        <w:t xml:space="preserve"> (</w:t>
      </w:r>
      <w:r w:rsidRPr="00F20537">
        <w:rPr>
          <w:rFonts w:asciiTheme="majorBidi" w:hAnsiTheme="majorBidi" w:cstheme="majorBidi"/>
        </w:rPr>
        <w:t>Ashwander v. TVA, 297 U.S. 288, 346 (1936)</w:t>
      </w:r>
      <w:r>
        <w:rPr>
          <w:rFonts w:hint="cs"/>
          <w:rtl/>
        </w:rPr>
        <w:t xml:space="preserve">), אשר אומץ בפסיקתנו (ראו: דברי </w:t>
      </w:r>
      <w:r w:rsidRPr="00A32877">
        <w:rPr>
          <w:rFonts w:hint="eastAsia"/>
          <w:rtl/>
        </w:rPr>
        <w:t>הנשיא</w:t>
      </w:r>
      <w:r w:rsidRPr="00A32877">
        <w:rPr>
          <w:rtl/>
        </w:rPr>
        <w:t xml:space="preserve"> </w:t>
      </w:r>
      <w:r w:rsidRPr="00F20537">
        <w:rPr>
          <w:rFonts w:ascii="Century" w:hAnsi="Century" w:cs="Miriam" w:hint="eastAsia"/>
          <w:b/>
          <w:spacing w:val="0"/>
          <w:sz w:val="22"/>
          <w:szCs w:val="24"/>
          <w:rtl/>
        </w:rPr>
        <w:t>מ</w:t>
      </w:r>
      <w:r w:rsidRPr="00F20537">
        <w:rPr>
          <w:rFonts w:ascii="Century" w:hAnsi="Century" w:cs="Miriam"/>
          <w:b/>
          <w:spacing w:val="0"/>
          <w:sz w:val="22"/>
          <w:szCs w:val="24"/>
          <w:rtl/>
        </w:rPr>
        <w:t xml:space="preserve">' </w:t>
      </w:r>
      <w:r w:rsidRPr="00F20537">
        <w:rPr>
          <w:rFonts w:ascii="Century" w:hAnsi="Century" w:cs="Miriam" w:hint="eastAsia"/>
          <w:b/>
          <w:spacing w:val="0"/>
          <w:sz w:val="22"/>
          <w:szCs w:val="24"/>
          <w:rtl/>
        </w:rPr>
        <w:t>שמגר</w:t>
      </w:r>
      <w:r w:rsidRPr="00A32877">
        <w:rPr>
          <w:rtl/>
        </w:rPr>
        <w:t xml:space="preserve"> </w:t>
      </w:r>
      <w:r w:rsidRPr="00A32877">
        <w:rPr>
          <w:rFonts w:hint="eastAsia"/>
          <w:rtl/>
        </w:rPr>
        <w:t>ב</w:t>
      </w:r>
      <w:r>
        <w:rPr>
          <w:rFonts w:hint="cs"/>
          <w:rtl/>
        </w:rPr>
        <w:t xml:space="preserve">עניין </w:t>
      </w:r>
      <w:r w:rsidRPr="00F20537">
        <w:rPr>
          <w:rFonts w:ascii="Century" w:hAnsi="Century" w:cs="Miriam" w:hint="eastAsia"/>
          <w:b/>
          <w:spacing w:val="0"/>
          <w:sz w:val="22"/>
          <w:szCs w:val="24"/>
          <w:rtl/>
        </w:rPr>
        <w:t>בנק</w:t>
      </w:r>
      <w:r w:rsidRPr="00F20537">
        <w:rPr>
          <w:rFonts w:ascii="Century" w:hAnsi="Century" w:cs="Miriam"/>
          <w:b/>
          <w:spacing w:val="0"/>
          <w:sz w:val="22"/>
          <w:szCs w:val="24"/>
          <w:rtl/>
        </w:rPr>
        <w:t xml:space="preserve"> </w:t>
      </w:r>
      <w:r w:rsidRPr="00F20537">
        <w:rPr>
          <w:rFonts w:ascii="Century" w:hAnsi="Century" w:cs="Miriam" w:hint="eastAsia"/>
          <w:b/>
          <w:spacing w:val="0"/>
          <w:sz w:val="22"/>
          <w:szCs w:val="24"/>
          <w:rtl/>
        </w:rPr>
        <w:t>המזרחי</w:t>
      </w:r>
      <w:r>
        <w:rPr>
          <w:rFonts w:hint="cs"/>
          <w:rtl/>
        </w:rPr>
        <w:t>, בעמ'</w:t>
      </w:r>
      <w:r>
        <w:rPr>
          <w:rtl/>
        </w:rPr>
        <w:t xml:space="preserve"> 350</w:t>
      </w:r>
      <w:r>
        <w:rPr>
          <w:rFonts w:hint="cs"/>
          <w:rtl/>
        </w:rPr>
        <w:t>), ואשר מצווה לנו שלא</w:t>
      </w:r>
      <w:r w:rsidRPr="00A32877">
        <w:rPr>
          <w:rtl/>
        </w:rPr>
        <w:t xml:space="preserve"> </w:t>
      </w:r>
      <w:r w:rsidRPr="00A32877">
        <w:rPr>
          <w:rFonts w:hint="eastAsia"/>
          <w:rtl/>
        </w:rPr>
        <w:t>להיזקק</w:t>
      </w:r>
      <w:r w:rsidRPr="00A32877">
        <w:rPr>
          <w:rtl/>
        </w:rPr>
        <w:t xml:space="preserve"> </w:t>
      </w:r>
      <w:r w:rsidRPr="00A32877">
        <w:rPr>
          <w:rFonts w:hint="eastAsia"/>
          <w:rtl/>
        </w:rPr>
        <w:t>למשפט</w:t>
      </w:r>
      <w:r w:rsidRPr="00A32877">
        <w:rPr>
          <w:rtl/>
        </w:rPr>
        <w:t xml:space="preserve"> </w:t>
      </w:r>
      <w:r w:rsidRPr="00A32877">
        <w:rPr>
          <w:rFonts w:hint="eastAsia"/>
          <w:rtl/>
        </w:rPr>
        <w:t>החוקתי</w:t>
      </w:r>
      <w:r w:rsidRPr="00A32877">
        <w:rPr>
          <w:rtl/>
        </w:rPr>
        <w:t xml:space="preserve"> </w:t>
      </w:r>
      <w:r>
        <w:rPr>
          <w:rFonts w:hint="cs"/>
          <w:rtl/>
        </w:rPr>
        <w:t>"</w:t>
      </w:r>
      <w:r w:rsidRPr="00A32877">
        <w:rPr>
          <w:rFonts w:hint="eastAsia"/>
          <w:rtl/>
        </w:rPr>
        <w:t>כאשר</w:t>
      </w:r>
      <w:r w:rsidRPr="00A32877">
        <w:rPr>
          <w:rtl/>
        </w:rPr>
        <w:t xml:space="preserve"> </w:t>
      </w:r>
      <w:r w:rsidRPr="00A32877">
        <w:rPr>
          <w:rFonts w:hint="eastAsia"/>
          <w:rtl/>
        </w:rPr>
        <w:t>הפתרון</w:t>
      </w:r>
      <w:r w:rsidRPr="00A32877">
        <w:rPr>
          <w:rtl/>
        </w:rPr>
        <w:t xml:space="preserve"> </w:t>
      </w:r>
      <w:r w:rsidRPr="00A32877">
        <w:rPr>
          <w:rFonts w:hint="eastAsia"/>
          <w:rtl/>
        </w:rPr>
        <w:t>למחלוקת</w:t>
      </w:r>
      <w:r w:rsidRPr="00A32877">
        <w:rPr>
          <w:rtl/>
        </w:rPr>
        <w:t xml:space="preserve"> </w:t>
      </w:r>
      <w:r w:rsidRPr="00A32877">
        <w:rPr>
          <w:rFonts w:hint="eastAsia"/>
          <w:rtl/>
        </w:rPr>
        <w:t>המונחת</w:t>
      </w:r>
      <w:r w:rsidRPr="00A32877">
        <w:rPr>
          <w:rtl/>
        </w:rPr>
        <w:t xml:space="preserve"> </w:t>
      </w:r>
      <w:r w:rsidRPr="00A32877">
        <w:rPr>
          <w:rFonts w:hint="eastAsia"/>
          <w:rtl/>
        </w:rPr>
        <w:t>לפתחנו</w:t>
      </w:r>
      <w:r w:rsidRPr="00A32877">
        <w:rPr>
          <w:rtl/>
        </w:rPr>
        <w:t xml:space="preserve"> </w:t>
      </w:r>
      <w:r w:rsidRPr="00A32877">
        <w:rPr>
          <w:rFonts w:hint="eastAsia"/>
          <w:rtl/>
        </w:rPr>
        <w:t>מצוי</w:t>
      </w:r>
      <w:r w:rsidRPr="00A32877">
        <w:rPr>
          <w:rtl/>
        </w:rPr>
        <w:t xml:space="preserve"> </w:t>
      </w:r>
      <w:r w:rsidRPr="00A32877">
        <w:rPr>
          <w:rFonts w:hint="eastAsia"/>
          <w:rtl/>
        </w:rPr>
        <w:t>בחיקו</w:t>
      </w:r>
      <w:r w:rsidRPr="00A32877">
        <w:rPr>
          <w:rtl/>
        </w:rPr>
        <w:t xml:space="preserve"> </w:t>
      </w:r>
      <w:r w:rsidRPr="00A32877">
        <w:rPr>
          <w:rFonts w:hint="eastAsia"/>
          <w:rtl/>
        </w:rPr>
        <w:t>של</w:t>
      </w:r>
      <w:r w:rsidRPr="00A32877">
        <w:rPr>
          <w:rtl/>
        </w:rPr>
        <w:t xml:space="preserve"> </w:t>
      </w:r>
      <w:r w:rsidRPr="00A32877">
        <w:rPr>
          <w:rFonts w:hint="eastAsia"/>
          <w:rtl/>
        </w:rPr>
        <w:t>דין</w:t>
      </w:r>
      <w:r w:rsidRPr="00A32877">
        <w:rPr>
          <w:rtl/>
        </w:rPr>
        <w:t xml:space="preserve"> </w:t>
      </w:r>
      <w:r w:rsidRPr="00A32877">
        <w:rPr>
          <w:rFonts w:hint="eastAsia"/>
          <w:rtl/>
        </w:rPr>
        <w:t>רגיל</w:t>
      </w:r>
      <w:r>
        <w:rPr>
          <w:rFonts w:hint="cs"/>
          <w:rtl/>
        </w:rPr>
        <w:t xml:space="preserve">" (ראו: </w:t>
      </w:r>
      <w:r w:rsidRPr="00A32877">
        <w:rPr>
          <w:rFonts w:hint="eastAsia"/>
          <w:rtl/>
        </w:rPr>
        <w:t>בג</w:t>
      </w:r>
      <w:r w:rsidRPr="00A32877">
        <w:rPr>
          <w:rtl/>
        </w:rPr>
        <w:t>"</w:t>
      </w:r>
      <w:r w:rsidRPr="00A32877">
        <w:rPr>
          <w:rFonts w:hint="eastAsia"/>
          <w:rtl/>
        </w:rPr>
        <w:t>ץ</w:t>
      </w:r>
      <w:r w:rsidRPr="00A32877">
        <w:rPr>
          <w:rtl/>
        </w:rPr>
        <w:t xml:space="preserve"> 8948/22 </w:t>
      </w:r>
      <w:r w:rsidRPr="00F20537">
        <w:rPr>
          <w:rFonts w:ascii="Century" w:hAnsi="Century" w:cs="Miriam" w:hint="eastAsia"/>
          <w:b/>
          <w:spacing w:val="0"/>
          <w:sz w:val="22"/>
          <w:szCs w:val="24"/>
          <w:rtl/>
        </w:rPr>
        <w:t>שיינפלד</w:t>
      </w:r>
      <w:r w:rsidRPr="00F20537">
        <w:rPr>
          <w:rFonts w:ascii="Century" w:hAnsi="Century" w:cs="Miriam"/>
          <w:b/>
          <w:spacing w:val="0"/>
          <w:sz w:val="22"/>
          <w:szCs w:val="24"/>
          <w:rtl/>
        </w:rPr>
        <w:t xml:space="preserve"> </w:t>
      </w:r>
      <w:r w:rsidRPr="00F20537">
        <w:rPr>
          <w:rFonts w:ascii="Century" w:hAnsi="Century" w:cs="Miriam" w:hint="eastAsia"/>
          <w:b/>
          <w:spacing w:val="0"/>
          <w:sz w:val="22"/>
          <w:szCs w:val="24"/>
          <w:rtl/>
        </w:rPr>
        <w:t>נ</w:t>
      </w:r>
      <w:r w:rsidRPr="00F20537">
        <w:rPr>
          <w:rFonts w:ascii="Century" w:hAnsi="Century" w:cs="Miriam"/>
          <w:b/>
          <w:spacing w:val="0"/>
          <w:sz w:val="22"/>
          <w:szCs w:val="24"/>
          <w:rtl/>
        </w:rPr>
        <w:t xml:space="preserve">' </w:t>
      </w:r>
      <w:r w:rsidRPr="00F20537">
        <w:rPr>
          <w:rFonts w:ascii="Century" w:hAnsi="Century" w:cs="Miriam" w:hint="eastAsia"/>
          <w:b/>
          <w:spacing w:val="0"/>
          <w:sz w:val="22"/>
          <w:szCs w:val="24"/>
          <w:rtl/>
        </w:rPr>
        <w:t>הכנסת</w:t>
      </w:r>
      <w:r>
        <w:rPr>
          <w:rFonts w:hint="cs"/>
          <w:rtl/>
        </w:rPr>
        <w:t>, פסקה 16 לפסק דיני</w:t>
      </w:r>
      <w:r w:rsidRPr="00A32877">
        <w:rPr>
          <w:rtl/>
        </w:rPr>
        <w:t xml:space="preserve"> (18.</w:t>
      </w:r>
      <w:r>
        <w:rPr>
          <w:rFonts w:hint="cs"/>
          <w:rtl/>
        </w:rPr>
        <w:t>1</w:t>
      </w:r>
      <w:r w:rsidRPr="00A32877">
        <w:rPr>
          <w:rtl/>
        </w:rPr>
        <w:t>.2023)</w:t>
      </w:r>
      <w:r>
        <w:rPr>
          <w:rFonts w:hint="cs"/>
          <w:rtl/>
        </w:rPr>
        <w:t xml:space="preserve">). נוכח הכלל האמור, אילו יכולתי לצרף את דעתי לנימוקי חברי, ממלא-מקום הנשיא, הייתי עושה זאת בחפץ לב. נימוקי חברי עולים בקנה אחד עם כללי פרשנות ידועים ומקובלים, אך אלו אינם מקובלים עלי כל אימת שהם מורים לנו לפרש חוקים לפי גישה שזכתה לשם "התכלית האובייקטיבית". לא כאן המקום לפרט בסוגיה זו ובמחלוקת שהיא מעוררת. על כן אציין בקצרה כי גישת "התכלית האובייקטיבית" אינה מקובלת עלי מאחר שאינה באה לגלות את כוונתו האותנטית של המחוקק ומאפשרת לשופט לכפות את דעתו ואת תפישותיו הערכיות על מילותיו של החוק שאותו הוא נדרש לפרש (ראו, בהרחבה: </w:t>
      </w:r>
      <w:r w:rsidRPr="00F20537">
        <w:rPr>
          <w:rFonts w:asciiTheme="majorBidi" w:hAnsiTheme="majorBidi" w:cstheme="majorBidi"/>
          <w:szCs w:val="24"/>
        </w:rPr>
        <w:t xml:space="preserve">Alex Stein, </w:t>
      </w:r>
      <w:r w:rsidRPr="00F20537">
        <w:rPr>
          <w:rFonts w:asciiTheme="majorBidi" w:hAnsiTheme="majorBidi" w:cstheme="majorBidi"/>
          <w:i/>
          <w:iCs/>
          <w:szCs w:val="24"/>
        </w:rPr>
        <w:t>Probabilism in Legal Interpretation</w:t>
      </w:r>
      <w:r w:rsidRPr="00F20537">
        <w:rPr>
          <w:rFonts w:asciiTheme="majorBidi" w:hAnsiTheme="majorBidi" w:cstheme="majorBidi"/>
          <w:szCs w:val="24"/>
        </w:rPr>
        <w:t xml:space="preserve">, 107 </w:t>
      </w:r>
      <w:r w:rsidRPr="00F20537">
        <w:rPr>
          <w:rFonts w:asciiTheme="majorBidi" w:hAnsiTheme="majorBidi" w:cstheme="majorBidi"/>
          <w:smallCaps/>
          <w:szCs w:val="24"/>
        </w:rPr>
        <w:t>Iowa L. Rev.</w:t>
      </w:r>
      <w:r w:rsidRPr="00F20537">
        <w:rPr>
          <w:rFonts w:asciiTheme="majorBidi" w:hAnsiTheme="majorBidi" w:cstheme="majorBidi"/>
          <w:szCs w:val="24"/>
        </w:rPr>
        <w:t xml:space="preserve"> 1389 (2022)</w:t>
      </w:r>
      <w:r w:rsidRPr="00F20537">
        <w:rPr>
          <w:rFonts w:asciiTheme="majorBidi" w:hAnsiTheme="majorBidi" w:cstheme="majorBidi" w:hint="cs"/>
          <w:szCs w:val="24"/>
          <w:rtl/>
        </w:rPr>
        <w:t>).</w:t>
      </w:r>
      <w:r>
        <w:rPr>
          <w:rFonts w:hint="cs"/>
          <w:rtl/>
        </w:rPr>
        <w:t xml:space="preserve"> </w:t>
      </w:r>
      <w:r w:rsidRPr="00126DC0">
        <w:rPr>
          <w:rFonts w:hint="eastAsia"/>
          <w:sz w:val="28"/>
          <w:rtl/>
        </w:rPr>
        <w:t>במקרה</w:t>
      </w:r>
      <w:r w:rsidRPr="00126DC0">
        <w:rPr>
          <w:sz w:val="28"/>
          <w:rtl/>
        </w:rPr>
        <w:t xml:space="preserve"> </w:t>
      </w:r>
      <w:r w:rsidRPr="00126DC0">
        <w:rPr>
          <w:rFonts w:hint="eastAsia"/>
          <w:sz w:val="28"/>
          <w:rtl/>
        </w:rPr>
        <w:t>שלפנינו</w:t>
      </w:r>
      <w:r w:rsidRPr="00126DC0">
        <w:rPr>
          <w:sz w:val="28"/>
          <w:rtl/>
        </w:rPr>
        <w:t xml:space="preserve">: </w:t>
      </w:r>
      <w:r w:rsidRPr="00126DC0">
        <w:rPr>
          <w:rFonts w:hint="eastAsia"/>
          <w:sz w:val="28"/>
          <w:rtl/>
        </w:rPr>
        <w:t>נוכח</w:t>
      </w:r>
      <w:r w:rsidRPr="00126DC0">
        <w:rPr>
          <w:sz w:val="28"/>
          <w:rtl/>
        </w:rPr>
        <w:t xml:space="preserve"> </w:t>
      </w:r>
      <w:r w:rsidRPr="00126DC0">
        <w:rPr>
          <w:rFonts w:hint="eastAsia"/>
          <w:sz w:val="28"/>
          <w:rtl/>
        </w:rPr>
        <w:t>האמור</w:t>
      </w:r>
      <w:r w:rsidRPr="00126DC0">
        <w:rPr>
          <w:sz w:val="28"/>
          <w:rtl/>
        </w:rPr>
        <w:t xml:space="preserve"> </w:t>
      </w:r>
      <w:r w:rsidRPr="00126DC0">
        <w:rPr>
          <w:rFonts w:hint="eastAsia"/>
          <w:sz w:val="28"/>
          <w:rtl/>
        </w:rPr>
        <w:t>בסעיף</w:t>
      </w:r>
      <w:r w:rsidRPr="00126DC0">
        <w:rPr>
          <w:sz w:val="28"/>
          <w:rtl/>
        </w:rPr>
        <w:t xml:space="preserve"> 10(</w:t>
      </w:r>
      <w:r w:rsidRPr="00126DC0">
        <w:rPr>
          <w:rFonts w:hint="eastAsia"/>
          <w:sz w:val="28"/>
          <w:rtl/>
        </w:rPr>
        <w:t>א</w:t>
      </w:r>
      <w:r w:rsidRPr="00126DC0">
        <w:rPr>
          <w:sz w:val="28"/>
          <w:rtl/>
        </w:rPr>
        <w:t xml:space="preserve">) </w:t>
      </w:r>
      <w:r w:rsidRPr="00126DC0">
        <w:rPr>
          <w:rFonts w:hint="eastAsia"/>
          <w:sz w:val="28"/>
          <w:rtl/>
        </w:rPr>
        <w:t>לפקודת</w:t>
      </w:r>
      <w:r w:rsidRPr="00126DC0">
        <w:rPr>
          <w:sz w:val="28"/>
          <w:rtl/>
        </w:rPr>
        <w:t xml:space="preserve"> </w:t>
      </w:r>
      <w:r w:rsidRPr="00126DC0">
        <w:rPr>
          <w:rFonts w:hint="eastAsia"/>
          <w:sz w:val="28"/>
          <w:rtl/>
        </w:rPr>
        <w:t>סדרי</w:t>
      </w:r>
      <w:r w:rsidRPr="00126DC0">
        <w:rPr>
          <w:sz w:val="28"/>
          <w:rtl/>
        </w:rPr>
        <w:t xml:space="preserve"> </w:t>
      </w:r>
      <w:r w:rsidRPr="00126DC0">
        <w:rPr>
          <w:rFonts w:hint="eastAsia"/>
          <w:sz w:val="28"/>
          <w:rtl/>
        </w:rPr>
        <w:t>השלטון</w:t>
      </w:r>
      <w:r w:rsidRPr="00126DC0">
        <w:rPr>
          <w:sz w:val="28"/>
          <w:rtl/>
        </w:rPr>
        <w:t xml:space="preserve"> </w:t>
      </w:r>
      <w:r w:rsidRPr="00126DC0">
        <w:rPr>
          <w:rFonts w:hint="eastAsia"/>
          <w:sz w:val="28"/>
          <w:rtl/>
        </w:rPr>
        <w:t>והמשפט</w:t>
      </w:r>
      <w:r w:rsidRPr="00126DC0">
        <w:rPr>
          <w:sz w:val="28"/>
          <w:rtl/>
        </w:rPr>
        <w:t xml:space="preserve">, </w:t>
      </w:r>
      <w:r w:rsidRPr="00126DC0">
        <w:rPr>
          <w:rFonts w:hint="eastAsia"/>
          <w:sz w:val="28"/>
          <w:rtl/>
        </w:rPr>
        <w:t>אשר</w:t>
      </w:r>
      <w:r w:rsidRPr="00126DC0">
        <w:rPr>
          <w:sz w:val="28"/>
          <w:rtl/>
        </w:rPr>
        <w:t xml:space="preserve"> </w:t>
      </w:r>
      <w:r w:rsidRPr="00126DC0">
        <w:rPr>
          <w:rFonts w:hint="eastAsia"/>
          <w:sz w:val="28"/>
          <w:rtl/>
        </w:rPr>
        <w:t>קובע</w:t>
      </w:r>
      <w:r w:rsidRPr="00126DC0">
        <w:rPr>
          <w:sz w:val="28"/>
          <w:rtl/>
        </w:rPr>
        <w:t xml:space="preserve"> </w:t>
      </w:r>
      <w:r w:rsidRPr="00126DC0">
        <w:rPr>
          <w:rFonts w:hint="eastAsia"/>
          <w:sz w:val="28"/>
          <w:rtl/>
        </w:rPr>
        <w:t>כי</w:t>
      </w:r>
      <w:r w:rsidRPr="00126DC0">
        <w:rPr>
          <w:sz w:val="28"/>
          <w:rtl/>
        </w:rPr>
        <w:t xml:space="preserve"> </w:t>
      </w:r>
      <w:r w:rsidRPr="00126DC0">
        <w:rPr>
          <w:rFonts w:hint="eastAsia"/>
          <w:sz w:val="28"/>
          <w:rtl/>
        </w:rPr>
        <w:t>חוק</w:t>
      </w:r>
      <w:r w:rsidRPr="00126DC0">
        <w:rPr>
          <w:sz w:val="28"/>
          <w:rtl/>
        </w:rPr>
        <w:t xml:space="preserve"> </w:t>
      </w:r>
      <w:r w:rsidRPr="00126DC0">
        <w:rPr>
          <w:rFonts w:hint="eastAsia"/>
          <w:sz w:val="28"/>
          <w:rtl/>
        </w:rPr>
        <w:t>הכנסת</w:t>
      </w:r>
      <w:r w:rsidRPr="00126DC0">
        <w:rPr>
          <w:sz w:val="28"/>
          <w:rtl/>
        </w:rPr>
        <w:t xml:space="preserve"> </w:t>
      </w:r>
      <w:r w:rsidRPr="00126DC0">
        <w:rPr>
          <w:rFonts w:hint="eastAsia"/>
          <w:sz w:val="28"/>
          <w:rtl/>
        </w:rPr>
        <w:t>מקבל</w:t>
      </w:r>
      <w:r w:rsidRPr="00126DC0">
        <w:rPr>
          <w:sz w:val="28"/>
          <w:rtl/>
        </w:rPr>
        <w:t xml:space="preserve"> </w:t>
      </w:r>
      <w:r w:rsidRPr="00126DC0">
        <w:rPr>
          <w:rFonts w:ascii="FrankRuehl" w:hAnsi="FrankRuehl"/>
          <w:color w:val="000000"/>
          <w:sz w:val="28"/>
          <w:rtl/>
        </w:rPr>
        <w:t>תוקף ביום פרסומ</w:t>
      </w:r>
      <w:r w:rsidRPr="00126DC0">
        <w:rPr>
          <w:rFonts w:ascii="FrankRuehl" w:hAnsi="FrankRuehl" w:hint="eastAsia"/>
          <w:color w:val="000000"/>
          <w:sz w:val="28"/>
          <w:rtl/>
        </w:rPr>
        <w:t>ו</w:t>
      </w:r>
      <w:r w:rsidRPr="00126DC0">
        <w:rPr>
          <w:rFonts w:ascii="FrankRuehl" w:hAnsi="FrankRuehl"/>
          <w:color w:val="000000"/>
          <w:sz w:val="28"/>
          <w:rtl/>
        </w:rPr>
        <w:t xml:space="preserve"> ברשומות, </w:t>
      </w:r>
      <w:r w:rsidRPr="00126DC0">
        <w:rPr>
          <w:rFonts w:ascii="FrankRuehl" w:hAnsi="FrankRuehl" w:hint="eastAsia"/>
          <w:color w:val="000000"/>
          <w:sz w:val="28"/>
          <w:rtl/>
        </w:rPr>
        <w:t>זולת</w:t>
      </w:r>
      <w:r w:rsidRPr="00126DC0">
        <w:rPr>
          <w:rFonts w:ascii="FrankRuehl" w:hAnsi="FrankRuehl"/>
          <w:color w:val="000000"/>
          <w:sz w:val="28"/>
          <w:rtl/>
        </w:rPr>
        <w:t xml:space="preserve"> אם נקבע </w:t>
      </w:r>
      <w:r w:rsidRPr="00126DC0">
        <w:rPr>
          <w:rFonts w:ascii="FrankRuehl" w:hAnsi="FrankRuehl" w:hint="eastAsia"/>
          <w:color w:val="000000"/>
          <w:sz w:val="28"/>
          <w:rtl/>
        </w:rPr>
        <w:t>בו</w:t>
      </w:r>
      <w:r w:rsidRPr="00126DC0">
        <w:rPr>
          <w:rFonts w:ascii="FrankRuehl" w:hAnsi="FrankRuehl"/>
          <w:color w:val="000000"/>
          <w:sz w:val="28"/>
          <w:rtl/>
        </w:rPr>
        <w:t xml:space="preserve"> כי </w:t>
      </w:r>
      <w:r w:rsidRPr="00126DC0">
        <w:rPr>
          <w:rFonts w:ascii="FrankRuehl" w:hAnsi="FrankRuehl" w:hint="eastAsia"/>
          <w:color w:val="000000"/>
          <w:sz w:val="28"/>
          <w:rtl/>
        </w:rPr>
        <w:t>י</w:t>
      </w:r>
      <w:r w:rsidRPr="00126DC0">
        <w:rPr>
          <w:rFonts w:ascii="FrankRuehl" w:hAnsi="FrankRuehl"/>
          <w:color w:val="000000"/>
          <w:sz w:val="28"/>
          <w:rtl/>
        </w:rPr>
        <w:t>קבל תוקף בתאריך מוקדם או מאוחר מיום הפרסום</w:t>
      </w:r>
      <w:r>
        <w:rPr>
          <w:rFonts w:ascii="FrankRuehl" w:hAnsi="FrankRuehl" w:hint="cs"/>
          <w:color w:val="000000"/>
          <w:sz w:val="28"/>
          <w:rtl/>
        </w:rPr>
        <w:t>;</w:t>
      </w:r>
      <w:r w:rsidRPr="00126DC0">
        <w:rPr>
          <w:rStyle w:val="af0"/>
          <w:rFonts w:ascii="FrankRuehl" w:hAnsi="FrankRuehl"/>
          <w:color w:val="000000"/>
          <w:sz w:val="28"/>
          <w:rtl/>
        </w:rPr>
        <w:footnoteReference w:id="1"/>
      </w:r>
      <w:r w:rsidRPr="00126DC0">
        <w:rPr>
          <w:rFonts w:ascii="FrankRuehl" w:hAnsi="FrankRuehl"/>
          <w:color w:val="000000"/>
          <w:sz w:val="28"/>
          <w:rtl/>
        </w:rPr>
        <w:t xml:space="preserve"> ונוכח כוונת</w:t>
      </w:r>
      <w:r w:rsidRPr="00126DC0">
        <w:rPr>
          <w:rFonts w:ascii="FrankRuehl" w:hAnsi="FrankRuehl" w:hint="eastAsia"/>
          <w:color w:val="000000"/>
          <w:sz w:val="28"/>
          <w:rtl/>
        </w:rPr>
        <w:t>ו</w:t>
      </w:r>
      <w:r w:rsidRPr="00126DC0">
        <w:rPr>
          <w:rFonts w:ascii="FrankRuehl" w:hAnsi="FrankRuehl"/>
          <w:color w:val="000000"/>
          <w:sz w:val="28"/>
          <w:rtl/>
        </w:rPr>
        <w:t xml:space="preserve"> הברורה של המחו</w:t>
      </w:r>
      <w:r w:rsidRPr="00126DC0">
        <w:rPr>
          <w:rFonts w:ascii="FrankRuehl" w:hAnsi="FrankRuehl" w:hint="eastAsia"/>
          <w:color w:val="000000"/>
          <w:sz w:val="28"/>
          <w:rtl/>
        </w:rPr>
        <w:t>קק</w:t>
      </w:r>
      <w:r w:rsidRPr="00126DC0">
        <w:rPr>
          <w:rFonts w:ascii="FrankRuehl" w:hAnsi="FrankRuehl"/>
          <w:color w:val="000000"/>
          <w:sz w:val="28"/>
          <w:rtl/>
        </w:rPr>
        <w:t xml:space="preserve"> להחיל את החוק המתקן </w:t>
      </w:r>
      <w:r w:rsidRPr="00126DC0">
        <w:rPr>
          <w:rFonts w:hint="eastAsia"/>
          <w:sz w:val="28"/>
          <w:rtl/>
        </w:rPr>
        <w:t>באופן</w:t>
      </w:r>
      <w:r w:rsidRPr="00126DC0">
        <w:rPr>
          <w:sz w:val="28"/>
          <w:rtl/>
        </w:rPr>
        <w:t xml:space="preserve"> </w:t>
      </w:r>
      <w:r w:rsidRPr="00126DC0">
        <w:rPr>
          <w:rFonts w:hint="eastAsia"/>
          <w:sz w:val="28"/>
          <w:rtl/>
        </w:rPr>
        <w:t>מיידי</w:t>
      </w:r>
      <w:r w:rsidRPr="00126DC0">
        <w:rPr>
          <w:sz w:val="28"/>
          <w:rtl/>
        </w:rPr>
        <w:t xml:space="preserve"> – </w:t>
      </w:r>
      <w:r w:rsidRPr="00126DC0">
        <w:rPr>
          <w:rFonts w:hint="eastAsia"/>
          <w:sz w:val="28"/>
          <w:rtl/>
        </w:rPr>
        <w:t>כך</w:t>
      </w:r>
      <w:r w:rsidRPr="00126DC0">
        <w:rPr>
          <w:sz w:val="28"/>
          <w:rtl/>
        </w:rPr>
        <w:t xml:space="preserve"> </w:t>
      </w:r>
      <w:r w:rsidRPr="00126DC0">
        <w:rPr>
          <w:rFonts w:hint="eastAsia"/>
          <w:sz w:val="28"/>
          <w:rtl/>
        </w:rPr>
        <w:t>שהחוק</w:t>
      </w:r>
      <w:r w:rsidRPr="00126DC0">
        <w:rPr>
          <w:sz w:val="28"/>
          <w:rtl/>
        </w:rPr>
        <w:t xml:space="preserve"> </w:t>
      </w:r>
      <w:r w:rsidRPr="00126DC0">
        <w:rPr>
          <w:rFonts w:hint="eastAsia"/>
          <w:sz w:val="28"/>
          <w:rtl/>
        </w:rPr>
        <w:t>יחול</w:t>
      </w:r>
      <w:r w:rsidRPr="00126DC0">
        <w:rPr>
          <w:sz w:val="28"/>
          <w:rtl/>
        </w:rPr>
        <w:t xml:space="preserve"> </w:t>
      </w:r>
      <w:r w:rsidRPr="00126DC0">
        <w:rPr>
          <w:rFonts w:ascii="FrankRuehl" w:hAnsi="FrankRuehl" w:hint="eastAsia"/>
          <w:color w:val="000000"/>
          <w:sz w:val="28"/>
          <w:rtl/>
        </w:rPr>
        <w:t>כבר</w:t>
      </w:r>
      <w:r w:rsidRPr="00126DC0">
        <w:rPr>
          <w:rFonts w:ascii="FrankRuehl" w:hAnsi="FrankRuehl"/>
          <w:color w:val="000000"/>
          <w:sz w:val="28"/>
          <w:rtl/>
        </w:rPr>
        <w:t xml:space="preserve"> בבחירות הקרובות – </w:t>
      </w:r>
      <w:r w:rsidRPr="00126DC0">
        <w:rPr>
          <w:rFonts w:ascii="FrankRuehl" w:hAnsi="FrankRuehl" w:hint="eastAsia"/>
          <w:color w:val="000000"/>
          <w:sz w:val="28"/>
          <w:rtl/>
        </w:rPr>
        <w:t>איני</w:t>
      </w:r>
      <w:r w:rsidRPr="00126DC0">
        <w:rPr>
          <w:rFonts w:ascii="FrankRuehl" w:hAnsi="FrankRuehl"/>
          <w:color w:val="000000"/>
          <w:sz w:val="28"/>
          <w:rtl/>
        </w:rPr>
        <w:t xml:space="preserve"> רואה כיצד ניתן </w:t>
      </w:r>
      <w:r w:rsidRPr="00126DC0">
        <w:rPr>
          <w:rFonts w:hint="eastAsia"/>
          <w:sz w:val="28"/>
          <w:rtl/>
        </w:rPr>
        <w:t>לסווג</w:t>
      </w:r>
      <w:r w:rsidRPr="00126DC0">
        <w:rPr>
          <w:sz w:val="28"/>
          <w:rtl/>
        </w:rPr>
        <w:t xml:space="preserve"> </w:t>
      </w:r>
      <w:r w:rsidRPr="00126DC0">
        <w:rPr>
          <w:rFonts w:hint="eastAsia"/>
          <w:sz w:val="28"/>
          <w:rtl/>
        </w:rPr>
        <w:t>כ</w:t>
      </w:r>
      <w:r w:rsidRPr="00126DC0">
        <w:rPr>
          <w:sz w:val="28"/>
          <w:rtl/>
        </w:rPr>
        <w:t>"</w:t>
      </w:r>
      <w:r w:rsidRPr="00126DC0">
        <w:rPr>
          <w:rFonts w:hint="eastAsia"/>
          <w:sz w:val="28"/>
          <w:rtl/>
        </w:rPr>
        <w:t>פרשנות</w:t>
      </w:r>
      <w:r w:rsidRPr="00126DC0">
        <w:rPr>
          <w:sz w:val="28"/>
          <w:rtl/>
        </w:rPr>
        <w:t xml:space="preserve">" </w:t>
      </w:r>
      <w:r w:rsidRPr="00126DC0">
        <w:rPr>
          <w:rFonts w:ascii="FrankRuehl" w:hAnsi="FrankRuehl" w:hint="eastAsia"/>
          <w:color w:val="000000"/>
          <w:sz w:val="28"/>
          <w:rtl/>
        </w:rPr>
        <w:t>החלטה</w:t>
      </w:r>
      <w:r w:rsidRPr="00126DC0">
        <w:rPr>
          <w:rFonts w:ascii="FrankRuehl" w:hAnsi="FrankRuehl"/>
          <w:color w:val="000000"/>
          <w:sz w:val="28"/>
          <w:rtl/>
        </w:rPr>
        <w:t xml:space="preserve"> </w:t>
      </w:r>
      <w:r w:rsidRPr="00126DC0">
        <w:rPr>
          <w:rFonts w:ascii="FrankRuehl" w:hAnsi="FrankRuehl" w:hint="eastAsia"/>
          <w:color w:val="000000"/>
          <w:sz w:val="28"/>
          <w:rtl/>
        </w:rPr>
        <w:t>שיפוטית</w:t>
      </w:r>
      <w:r w:rsidRPr="00126DC0">
        <w:rPr>
          <w:rFonts w:ascii="FrankRuehl" w:hAnsi="FrankRuehl"/>
          <w:color w:val="000000"/>
          <w:sz w:val="28"/>
          <w:rtl/>
        </w:rPr>
        <w:t xml:space="preserve"> </w:t>
      </w:r>
      <w:r w:rsidRPr="00126DC0">
        <w:rPr>
          <w:rFonts w:ascii="FrankRuehl" w:hAnsi="FrankRuehl" w:hint="eastAsia"/>
          <w:color w:val="000000"/>
          <w:sz w:val="28"/>
          <w:rtl/>
        </w:rPr>
        <w:t>אשר</w:t>
      </w:r>
      <w:r w:rsidRPr="00126DC0">
        <w:rPr>
          <w:rFonts w:ascii="FrankRuehl" w:hAnsi="FrankRuehl"/>
          <w:color w:val="000000"/>
          <w:sz w:val="28"/>
          <w:rtl/>
        </w:rPr>
        <w:t xml:space="preserve"> </w:t>
      </w:r>
      <w:r w:rsidRPr="00126DC0">
        <w:rPr>
          <w:rFonts w:ascii="FrankRuehl" w:hAnsi="FrankRuehl" w:hint="eastAsia"/>
          <w:color w:val="000000"/>
          <w:sz w:val="28"/>
          <w:rtl/>
        </w:rPr>
        <w:t>דוחה</w:t>
      </w:r>
      <w:r w:rsidRPr="00126DC0">
        <w:rPr>
          <w:rFonts w:ascii="FrankRuehl" w:hAnsi="FrankRuehl"/>
          <w:color w:val="000000"/>
          <w:sz w:val="28"/>
          <w:rtl/>
        </w:rPr>
        <w:t xml:space="preserve"> </w:t>
      </w:r>
      <w:r w:rsidRPr="00126DC0">
        <w:rPr>
          <w:rFonts w:ascii="FrankRuehl" w:hAnsi="FrankRuehl" w:hint="eastAsia"/>
          <w:color w:val="000000"/>
          <w:sz w:val="28"/>
          <w:rtl/>
        </w:rPr>
        <w:t>את</w:t>
      </w:r>
      <w:r w:rsidRPr="00126DC0">
        <w:rPr>
          <w:rFonts w:ascii="FrankRuehl" w:hAnsi="FrankRuehl"/>
          <w:color w:val="000000"/>
          <w:sz w:val="28"/>
          <w:rtl/>
        </w:rPr>
        <w:t xml:space="preserve"> </w:t>
      </w:r>
      <w:r w:rsidRPr="00126DC0">
        <w:rPr>
          <w:rFonts w:ascii="FrankRuehl" w:hAnsi="FrankRuehl" w:hint="eastAsia"/>
          <w:color w:val="000000"/>
          <w:sz w:val="28"/>
          <w:rtl/>
        </w:rPr>
        <w:t>תחולתו</w:t>
      </w:r>
      <w:r w:rsidRPr="00126DC0">
        <w:rPr>
          <w:rFonts w:ascii="FrankRuehl" w:hAnsi="FrankRuehl"/>
          <w:color w:val="000000"/>
          <w:sz w:val="28"/>
          <w:rtl/>
        </w:rPr>
        <w:t xml:space="preserve"> </w:t>
      </w:r>
      <w:r w:rsidRPr="00126DC0">
        <w:rPr>
          <w:rFonts w:ascii="FrankRuehl" w:hAnsi="FrankRuehl" w:hint="eastAsia"/>
          <w:color w:val="000000"/>
          <w:sz w:val="28"/>
          <w:rtl/>
        </w:rPr>
        <w:t>של</w:t>
      </w:r>
      <w:r w:rsidRPr="00126DC0">
        <w:rPr>
          <w:rFonts w:ascii="FrankRuehl" w:hAnsi="FrankRuehl"/>
          <w:color w:val="000000"/>
          <w:sz w:val="28"/>
          <w:rtl/>
        </w:rPr>
        <w:t xml:space="preserve"> </w:t>
      </w:r>
      <w:r w:rsidRPr="00126DC0">
        <w:rPr>
          <w:rFonts w:ascii="FrankRuehl" w:hAnsi="FrankRuehl" w:hint="eastAsia"/>
          <w:color w:val="000000"/>
          <w:sz w:val="28"/>
          <w:rtl/>
        </w:rPr>
        <w:t>החוק</w:t>
      </w:r>
      <w:r w:rsidRPr="00126DC0">
        <w:rPr>
          <w:rFonts w:ascii="FrankRuehl" w:hAnsi="FrankRuehl"/>
          <w:color w:val="000000"/>
          <w:sz w:val="28"/>
          <w:rtl/>
        </w:rPr>
        <w:t xml:space="preserve"> </w:t>
      </w:r>
      <w:r w:rsidRPr="00126DC0">
        <w:rPr>
          <w:rFonts w:ascii="FrankRuehl" w:hAnsi="FrankRuehl" w:hint="eastAsia"/>
          <w:color w:val="000000"/>
          <w:sz w:val="28"/>
          <w:rtl/>
        </w:rPr>
        <w:t>למועד</w:t>
      </w:r>
      <w:r w:rsidRPr="00126DC0">
        <w:rPr>
          <w:rFonts w:ascii="FrankRuehl" w:hAnsi="FrankRuehl"/>
          <w:color w:val="000000"/>
          <w:sz w:val="28"/>
          <w:rtl/>
        </w:rPr>
        <w:t xml:space="preserve"> </w:t>
      </w:r>
      <w:r w:rsidRPr="00126DC0">
        <w:rPr>
          <w:rFonts w:ascii="FrankRuehl" w:hAnsi="FrankRuehl" w:hint="eastAsia"/>
          <w:color w:val="000000"/>
          <w:sz w:val="28"/>
          <w:rtl/>
        </w:rPr>
        <w:t>מאוחר</w:t>
      </w:r>
      <w:r w:rsidRPr="00126DC0">
        <w:rPr>
          <w:rFonts w:ascii="FrankRuehl" w:hAnsi="FrankRuehl"/>
          <w:color w:val="000000"/>
          <w:sz w:val="28"/>
          <w:rtl/>
        </w:rPr>
        <w:t xml:space="preserve"> </w:t>
      </w:r>
      <w:r w:rsidRPr="00126DC0">
        <w:rPr>
          <w:rFonts w:ascii="FrankRuehl" w:hAnsi="FrankRuehl" w:hint="eastAsia"/>
          <w:color w:val="000000"/>
          <w:sz w:val="28"/>
          <w:rtl/>
        </w:rPr>
        <w:t>יותר</w:t>
      </w:r>
      <w:r w:rsidRPr="00126DC0">
        <w:rPr>
          <w:rFonts w:ascii="FrankRuehl" w:hAnsi="FrankRuehl"/>
          <w:color w:val="000000"/>
          <w:sz w:val="28"/>
          <w:rtl/>
        </w:rPr>
        <w:t xml:space="preserve">, על אפו ועל חמתו של המחוקק. </w:t>
      </w:r>
      <w:r w:rsidRPr="00126DC0">
        <w:rPr>
          <w:rFonts w:hint="eastAsia"/>
          <w:sz w:val="28"/>
          <w:rtl/>
        </w:rPr>
        <w:t>לטעמי</w:t>
      </w:r>
      <w:r w:rsidRPr="00126DC0">
        <w:rPr>
          <w:sz w:val="28"/>
          <w:rtl/>
        </w:rPr>
        <w:t xml:space="preserve">, </w:t>
      </w:r>
      <w:r w:rsidRPr="00126DC0">
        <w:rPr>
          <w:rFonts w:hint="eastAsia"/>
          <w:sz w:val="28"/>
          <w:rtl/>
        </w:rPr>
        <w:t>התערבות</w:t>
      </w:r>
      <w:r w:rsidRPr="00126DC0">
        <w:rPr>
          <w:sz w:val="28"/>
          <w:rtl/>
        </w:rPr>
        <w:t xml:space="preserve"> </w:t>
      </w:r>
      <w:r w:rsidRPr="00126DC0">
        <w:rPr>
          <w:rFonts w:hint="eastAsia"/>
          <w:sz w:val="28"/>
          <w:rtl/>
        </w:rPr>
        <w:t>שיפוטית</w:t>
      </w:r>
      <w:r w:rsidRPr="00126DC0">
        <w:rPr>
          <w:sz w:val="28"/>
          <w:rtl/>
        </w:rPr>
        <w:t xml:space="preserve"> </w:t>
      </w:r>
      <w:r w:rsidRPr="00126DC0">
        <w:rPr>
          <w:rFonts w:hint="eastAsia"/>
          <w:sz w:val="28"/>
          <w:rtl/>
        </w:rPr>
        <w:t>מעין</w:t>
      </w:r>
      <w:r w:rsidRPr="00126DC0">
        <w:rPr>
          <w:sz w:val="28"/>
          <w:rtl/>
        </w:rPr>
        <w:t xml:space="preserve"> </w:t>
      </w:r>
      <w:r w:rsidRPr="00126DC0">
        <w:rPr>
          <w:rFonts w:hint="eastAsia"/>
          <w:sz w:val="28"/>
          <w:rtl/>
        </w:rPr>
        <w:t>זו</w:t>
      </w:r>
      <w:r w:rsidRPr="00126DC0">
        <w:rPr>
          <w:sz w:val="28"/>
          <w:rtl/>
        </w:rPr>
        <w:t xml:space="preserve"> </w:t>
      </w:r>
      <w:r w:rsidRPr="00126DC0">
        <w:rPr>
          <w:rFonts w:hint="eastAsia"/>
          <w:sz w:val="28"/>
          <w:rtl/>
        </w:rPr>
        <w:t>בחקיקה</w:t>
      </w:r>
      <w:r w:rsidRPr="00126DC0">
        <w:rPr>
          <w:sz w:val="28"/>
          <w:rtl/>
        </w:rPr>
        <w:t xml:space="preserve"> </w:t>
      </w:r>
      <w:r w:rsidRPr="00126DC0">
        <w:rPr>
          <w:rFonts w:hint="eastAsia"/>
          <w:sz w:val="28"/>
          <w:rtl/>
        </w:rPr>
        <w:t>ראשית</w:t>
      </w:r>
      <w:r w:rsidRPr="00126DC0">
        <w:rPr>
          <w:sz w:val="28"/>
          <w:rtl/>
        </w:rPr>
        <w:t xml:space="preserve"> </w:t>
      </w:r>
      <w:r w:rsidRPr="00126DC0">
        <w:rPr>
          <w:rFonts w:hint="eastAsia"/>
          <w:sz w:val="28"/>
          <w:rtl/>
        </w:rPr>
        <w:t>מתאפשרת</w:t>
      </w:r>
      <w:r w:rsidRPr="00126DC0">
        <w:rPr>
          <w:sz w:val="28"/>
          <w:rtl/>
        </w:rPr>
        <w:t xml:space="preserve"> </w:t>
      </w:r>
      <w:r w:rsidRPr="00126DC0">
        <w:rPr>
          <w:rFonts w:hint="eastAsia"/>
          <w:sz w:val="28"/>
          <w:rtl/>
        </w:rPr>
        <w:t>רק</w:t>
      </w:r>
      <w:r w:rsidRPr="00126DC0">
        <w:rPr>
          <w:sz w:val="28"/>
          <w:rtl/>
        </w:rPr>
        <w:t xml:space="preserve"> </w:t>
      </w:r>
      <w:r w:rsidRPr="00126DC0">
        <w:rPr>
          <w:rFonts w:ascii="Century" w:hAnsi="Century" w:cs="Miriam" w:hint="eastAsia"/>
          <w:b/>
          <w:spacing w:val="0"/>
          <w:szCs w:val="24"/>
          <w:rtl/>
        </w:rPr>
        <w:t>מטעמים</w:t>
      </w:r>
      <w:r w:rsidRPr="00126DC0">
        <w:rPr>
          <w:rFonts w:ascii="Century" w:hAnsi="Century" w:cs="Miriam"/>
          <w:b/>
          <w:spacing w:val="0"/>
          <w:szCs w:val="24"/>
          <w:rtl/>
        </w:rPr>
        <w:t xml:space="preserve"> </w:t>
      </w:r>
      <w:r w:rsidRPr="00126DC0">
        <w:rPr>
          <w:rFonts w:ascii="Century" w:hAnsi="Century" w:cs="Miriam" w:hint="eastAsia"/>
          <w:b/>
          <w:spacing w:val="0"/>
          <w:szCs w:val="24"/>
          <w:rtl/>
        </w:rPr>
        <w:t>חוקתיים</w:t>
      </w:r>
      <w:r w:rsidRPr="00126DC0">
        <w:rPr>
          <w:szCs w:val="24"/>
          <w:rtl/>
        </w:rPr>
        <w:t xml:space="preserve"> </w:t>
      </w:r>
      <w:r w:rsidRPr="00126DC0">
        <w:rPr>
          <w:rFonts w:hint="eastAsia"/>
          <w:sz w:val="28"/>
          <w:rtl/>
        </w:rPr>
        <w:t>כדוגמת</w:t>
      </w:r>
      <w:r w:rsidRPr="00126DC0">
        <w:rPr>
          <w:sz w:val="28"/>
          <w:rtl/>
        </w:rPr>
        <w:t xml:space="preserve"> </w:t>
      </w:r>
      <w:r w:rsidRPr="00126DC0">
        <w:rPr>
          <w:rFonts w:hint="eastAsia"/>
          <w:sz w:val="28"/>
          <w:rtl/>
        </w:rPr>
        <w:t>זה</w:t>
      </w:r>
      <w:r w:rsidRPr="00126DC0">
        <w:rPr>
          <w:sz w:val="28"/>
          <w:rtl/>
        </w:rPr>
        <w:t xml:space="preserve"> </w:t>
      </w:r>
      <w:r w:rsidRPr="00126DC0">
        <w:rPr>
          <w:rFonts w:hint="eastAsia"/>
          <w:sz w:val="28"/>
          <w:rtl/>
        </w:rPr>
        <w:t>שעליו</w:t>
      </w:r>
      <w:r w:rsidRPr="00126DC0">
        <w:rPr>
          <w:sz w:val="28"/>
          <w:rtl/>
        </w:rPr>
        <w:t xml:space="preserve"> </w:t>
      </w:r>
      <w:r w:rsidRPr="00126DC0">
        <w:rPr>
          <w:rFonts w:hint="eastAsia"/>
          <w:sz w:val="28"/>
          <w:rtl/>
        </w:rPr>
        <w:t>מבוסס</w:t>
      </w:r>
      <w:r w:rsidRPr="00126DC0">
        <w:rPr>
          <w:sz w:val="28"/>
          <w:rtl/>
        </w:rPr>
        <w:t xml:space="preserve"> </w:t>
      </w:r>
      <w:r w:rsidRPr="00126DC0">
        <w:rPr>
          <w:rFonts w:hint="eastAsia"/>
          <w:sz w:val="28"/>
          <w:rtl/>
        </w:rPr>
        <w:t>פסק</w:t>
      </w:r>
      <w:r w:rsidRPr="00126DC0">
        <w:rPr>
          <w:sz w:val="28"/>
          <w:rtl/>
        </w:rPr>
        <w:t xml:space="preserve"> </w:t>
      </w:r>
      <w:r w:rsidRPr="00126DC0">
        <w:rPr>
          <w:rFonts w:hint="eastAsia"/>
          <w:sz w:val="28"/>
          <w:rtl/>
        </w:rPr>
        <w:t>דיני</w:t>
      </w:r>
      <w:r w:rsidRPr="00126DC0">
        <w:rPr>
          <w:sz w:val="28"/>
          <w:rtl/>
        </w:rPr>
        <w:t xml:space="preserve">. </w:t>
      </w:r>
      <w:r w:rsidRPr="00126DC0">
        <w:rPr>
          <w:rFonts w:hint="eastAsia"/>
          <w:sz w:val="28"/>
          <w:rtl/>
        </w:rPr>
        <w:t>המושג</w:t>
      </w:r>
      <w:r w:rsidRPr="00126DC0">
        <w:rPr>
          <w:sz w:val="28"/>
          <w:rtl/>
        </w:rPr>
        <w:t xml:space="preserve"> </w:t>
      </w:r>
      <w:r w:rsidRPr="00126DC0">
        <w:rPr>
          <w:rFonts w:hint="eastAsia"/>
          <w:sz w:val="28"/>
          <w:rtl/>
        </w:rPr>
        <w:t>המשפטי</w:t>
      </w:r>
      <w:r w:rsidRPr="00126DC0">
        <w:rPr>
          <w:sz w:val="28"/>
          <w:rtl/>
        </w:rPr>
        <w:t xml:space="preserve"> "</w:t>
      </w:r>
      <w:r w:rsidRPr="00126DC0">
        <w:rPr>
          <w:rFonts w:hint="eastAsia"/>
          <w:sz w:val="28"/>
          <w:rtl/>
        </w:rPr>
        <w:t>פרשנות</w:t>
      </w:r>
      <w:r w:rsidRPr="00126DC0">
        <w:rPr>
          <w:sz w:val="28"/>
          <w:rtl/>
        </w:rPr>
        <w:t xml:space="preserve">" </w:t>
      </w:r>
      <w:r w:rsidRPr="00126DC0">
        <w:rPr>
          <w:rFonts w:hint="eastAsia"/>
          <w:sz w:val="28"/>
          <w:rtl/>
        </w:rPr>
        <w:t>אינו</w:t>
      </w:r>
      <w:r w:rsidRPr="00126DC0">
        <w:rPr>
          <w:sz w:val="28"/>
          <w:rtl/>
        </w:rPr>
        <w:t xml:space="preserve"> </w:t>
      </w:r>
      <w:r w:rsidRPr="00126DC0">
        <w:rPr>
          <w:rFonts w:hint="eastAsia"/>
          <w:sz w:val="28"/>
          <w:rtl/>
        </w:rPr>
        <w:t>יכול</w:t>
      </w:r>
      <w:r w:rsidRPr="00126DC0">
        <w:rPr>
          <w:sz w:val="28"/>
          <w:rtl/>
        </w:rPr>
        <w:t xml:space="preserve"> </w:t>
      </w:r>
      <w:r w:rsidRPr="00126DC0">
        <w:rPr>
          <w:rFonts w:hint="eastAsia"/>
          <w:sz w:val="28"/>
          <w:rtl/>
        </w:rPr>
        <w:t>לשאת</w:t>
      </w:r>
      <w:r w:rsidRPr="00126DC0">
        <w:rPr>
          <w:sz w:val="28"/>
          <w:rtl/>
        </w:rPr>
        <w:t xml:space="preserve"> </w:t>
      </w:r>
      <w:r w:rsidRPr="00126DC0">
        <w:rPr>
          <w:rFonts w:hint="eastAsia"/>
          <w:sz w:val="28"/>
          <w:rtl/>
        </w:rPr>
        <w:t>התערבות</w:t>
      </w:r>
      <w:r w:rsidRPr="00126DC0">
        <w:rPr>
          <w:sz w:val="28"/>
          <w:rtl/>
        </w:rPr>
        <w:t xml:space="preserve"> </w:t>
      </w:r>
      <w:r w:rsidRPr="00126DC0">
        <w:rPr>
          <w:rFonts w:hint="eastAsia"/>
          <w:sz w:val="28"/>
          <w:rtl/>
        </w:rPr>
        <w:t>כאמור</w:t>
      </w:r>
      <w:r>
        <w:rPr>
          <w:rFonts w:hint="cs"/>
          <w:rtl/>
        </w:rPr>
        <w:t>.</w:t>
      </w:r>
    </w:p>
    <w:p w:rsidR="00553FDC" w:rsidRPr="00D1022B" w:rsidRDefault="00553FDC" w:rsidP="00553FDC">
      <w:pPr>
        <w:pStyle w:val="Ruller41"/>
        <w:rPr>
          <w:rtl/>
        </w:rPr>
      </w:pPr>
    </w:p>
    <w:p w:rsidR="00553FDC" w:rsidRDefault="00553FDC" w:rsidP="00553FDC">
      <w:pPr>
        <w:pStyle w:val="Ruller41"/>
        <w:rPr>
          <w:rtl/>
        </w:rPr>
      </w:pPr>
      <w:r>
        <w:rPr>
          <w:rFonts w:hint="cs"/>
          <w:rtl/>
        </w:rPr>
        <w:t>56</w:t>
      </w:r>
      <w:r w:rsidRPr="00AE7B75">
        <w:rPr>
          <w:rtl/>
        </w:rPr>
        <w:t>.</w:t>
      </w:r>
      <w:r w:rsidRPr="00AE7B75">
        <w:rPr>
          <w:rtl/>
        </w:rPr>
        <w:tab/>
      </w:r>
      <w:r>
        <w:rPr>
          <w:rFonts w:hint="cs"/>
          <w:rtl/>
        </w:rPr>
        <w:t xml:space="preserve">חברי, השופט </w:t>
      </w:r>
      <w:r w:rsidRPr="000854B5">
        <w:rPr>
          <w:rFonts w:ascii="Century" w:hAnsi="Century" w:cs="Miriam" w:hint="cs"/>
          <w:b/>
          <w:spacing w:val="0"/>
          <w:szCs w:val="24"/>
          <w:rtl/>
        </w:rPr>
        <w:t>י' עמית</w:t>
      </w:r>
      <w:r>
        <w:rPr>
          <w:rFonts w:hint="cs"/>
          <w:rtl/>
        </w:rPr>
        <w:t xml:space="preserve">, ראה לנכון להימנע מדיון בתזה החוקתית שבבסיס פסק דיני </w:t>
      </w:r>
      <w:r>
        <w:rPr>
          <w:rtl/>
        </w:rPr>
        <w:t>–</w:t>
      </w:r>
      <w:r>
        <w:rPr>
          <w:rFonts w:hint="cs"/>
          <w:rtl/>
        </w:rPr>
        <w:t xml:space="preserve"> תזה, שליבתה הכרזת העצמאות </w:t>
      </w:r>
      <w:r>
        <w:rPr>
          <w:rtl/>
        </w:rPr>
        <w:t>–</w:t>
      </w:r>
      <w:r>
        <w:rPr>
          <w:rFonts w:hint="cs"/>
          <w:rtl/>
        </w:rPr>
        <w:t xml:space="preserve"> מאחר שלדבריו בעלי הדין לא טענו בעניינה. אודה ולא ואכחד כי עמדה זו אינה מובנת לי. שתי עותרות ציבוריות אשר טענו לפנינו </w:t>
      </w:r>
      <w:r>
        <w:rPr>
          <w:rtl/>
        </w:rPr>
        <w:t>–</w:t>
      </w:r>
      <w:r>
        <w:rPr>
          <w:rFonts w:hint="cs"/>
          <w:rtl/>
        </w:rPr>
        <w:t xml:space="preserve"> </w:t>
      </w:r>
      <w:r>
        <w:rPr>
          <w:rFonts w:hint="cs"/>
          <w:rtl/>
        </w:rPr>
        <w:lastRenderedPageBreak/>
        <w:t xml:space="preserve">התנועה למען איכות השלטון בישראל, והתנועה לטוהר המידות </w:t>
      </w:r>
      <w:r>
        <w:rPr>
          <w:rtl/>
        </w:rPr>
        <w:t>–</w:t>
      </w:r>
      <w:r>
        <w:rPr>
          <w:rFonts w:hint="cs"/>
          <w:rtl/>
        </w:rPr>
        <w:t xml:space="preserve"> הסתמכו בטיעוניהן על "עיקרון השוויון", על "צדק" ועל "עקרונות היסוד של השיטה" (ראו: פסקאות 91, 92, 98, 134, 139 ו152-151 לעתירתה של התנועה למען איכות השלטון, וכן פסקאות 43, 45, 59, 64 ו-128 לעתירתה של התנועה לטוהר המידות). העותרות מן הסתם לא המציאו את המושגים "שוויון" ו"צדק": מושגים אלה מופיעים בהכרזת העצמאות. הביטוי "עקרונות היסוד של השיטה" נגזר מהיותה של מדינת ישראל מדינת יהודית ודמוקרטית: תיאור שמקובל לראותו כמסכם את עקרונותיה של הכרזת העצמאות. זאת ועוד: בפסקה 59 לעתירתה, הפנתה אותנו התנועה לטוהר המידות לעיקרון השוויון אשר מעוגן בחוק יסוד: כבוד האדם וחירותו </w:t>
      </w:r>
      <w:r>
        <w:rPr>
          <w:rtl/>
        </w:rPr>
        <w:t>–</w:t>
      </w:r>
      <w:r>
        <w:rPr>
          <w:rFonts w:hint="cs"/>
          <w:rtl/>
        </w:rPr>
        <w:t xml:space="preserve"> עיגון שנעשה בדרך של הפניה להכרזת העצמאות בסעיף 1 לחוק היסוד. </w:t>
      </w:r>
    </w:p>
    <w:p w:rsidR="00553FDC" w:rsidRDefault="00553FDC" w:rsidP="00553FDC">
      <w:pPr>
        <w:pStyle w:val="Ruller41"/>
        <w:rPr>
          <w:rtl/>
        </w:rPr>
      </w:pPr>
    </w:p>
    <w:p w:rsidR="00553FDC" w:rsidRDefault="00553FDC" w:rsidP="00553FDC">
      <w:pPr>
        <w:pStyle w:val="Ruller4"/>
        <w:numPr>
          <w:ilvl w:val="0"/>
          <w:numId w:val="23"/>
        </w:numPr>
        <w:rPr>
          <w:rtl/>
        </w:rPr>
      </w:pPr>
      <w:r>
        <w:rPr>
          <w:rFonts w:hint="cs"/>
          <w:rtl/>
        </w:rPr>
        <w:t xml:space="preserve">העותרות לא טענו אמנם למעמדה הפורמלי של הכרזת העצמאות כ"כלל ההכרה" וכמסד משפטנו, אך מסקנה משפטית זו אנו מוסמכים להסיק גם ללא עזרתן ומבלי שנשמעו טענות המשיבים. זאת, מאחר שבית המשפט לעולם </w:t>
      </w:r>
      <w:r w:rsidRPr="003D0AFC">
        <w:rPr>
          <w:rFonts w:ascii="Century" w:hAnsi="Century" w:cs="Miriam" w:hint="cs"/>
          <w:b/>
          <w:spacing w:val="0"/>
          <w:sz w:val="22"/>
          <w:szCs w:val="24"/>
          <w:rtl/>
        </w:rPr>
        <w:t>"רשאי לדון מיוזמתו במשמעות המשפטית הנגזרת מהמסכת העובדתית אשר נפרשה לפניו"</w:t>
      </w:r>
      <w:r>
        <w:rPr>
          <w:rFonts w:hint="cs"/>
          <w:rtl/>
        </w:rPr>
        <w:t xml:space="preserve"> (ראו, מיני רבים: </w:t>
      </w:r>
      <w:r w:rsidRPr="00AE7B75">
        <w:rPr>
          <w:rFonts w:hint="eastAsia"/>
          <w:rtl/>
        </w:rPr>
        <w:t>ע</w:t>
      </w:r>
      <w:r w:rsidRPr="00AE7B75">
        <w:rPr>
          <w:rtl/>
        </w:rPr>
        <w:t>"</w:t>
      </w:r>
      <w:r w:rsidRPr="00AE7B75">
        <w:rPr>
          <w:rFonts w:hint="eastAsia"/>
          <w:rtl/>
        </w:rPr>
        <w:t>א</w:t>
      </w:r>
      <w:r w:rsidRPr="00AE7B75">
        <w:rPr>
          <w:rtl/>
        </w:rPr>
        <w:t xml:space="preserve"> 11771/04 </w:t>
      </w:r>
      <w:r w:rsidRPr="003D0AFC">
        <w:rPr>
          <w:rFonts w:ascii="Century" w:hAnsi="Century" w:cs="Miriam" w:hint="eastAsia"/>
          <w:b/>
          <w:spacing w:val="0"/>
          <w:szCs w:val="24"/>
          <w:rtl/>
        </w:rPr>
        <w:t>לשכת</w:t>
      </w:r>
      <w:r w:rsidRPr="003D0AFC">
        <w:rPr>
          <w:rFonts w:ascii="Century" w:hAnsi="Century" w:cs="Miriam"/>
          <w:b/>
          <w:spacing w:val="0"/>
          <w:szCs w:val="24"/>
          <w:rtl/>
        </w:rPr>
        <w:t xml:space="preserve"> </w:t>
      </w:r>
      <w:r w:rsidRPr="003D0AFC">
        <w:rPr>
          <w:rFonts w:ascii="Century" w:hAnsi="Century" w:cs="Miriam" w:hint="eastAsia"/>
          <w:b/>
          <w:spacing w:val="0"/>
          <w:szCs w:val="24"/>
          <w:rtl/>
        </w:rPr>
        <w:t>עורכי</w:t>
      </w:r>
      <w:r w:rsidRPr="003D0AFC">
        <w:rPr>
          <w:rFonts w:ascii="Century" w:hAnsi="Century" w:cs="Miriam"/>
          <w:b/>
          <w:spacing w:val="0"/>
          <w:szCs w:val="24"/>
          <w:rtl/>
        </w:rPr>
        <w:t xml:space="preserve"> </w:t>
      </w:r>
      <w:r w:rsidRPr="003D0AFC">
        <w:rPr>
          <w:rFonts w:ascii="Century" w:hAnsi="Century" w:cs="Miriam" w:hint="eastAsia"/>
          <w:b/>
          <w:spacing w:val="0"/>
          <w:szCs w:val="24"/>
          <w:rtl/>
        </w:rPr>
        <w:t>הדין</w:t>
      </w:r>
      <w:r w:rsidRPr="003D0AFC">
        <w:rPr>
          <w:rFonts w:ascii="Century" w:hAnsi="Century" w:cs="Miriam"/>
          <w:b/>
          <w:spacing w:val="0"/>
          <w:szCs w:val="24"/>
          <w:rtl/>
        </w:rPr>
        <w:t xml:space="preserve"> </w:t>
      </w:r>
      <w:r w:rsidRPr="003D0AFC">
        <w:rPr>
          <w:rFonts w:ascii="Century" w:hAnsi="Century" w:cs="Miriam" w:hint="eastAsia"/>
          <w:b/>
          <w:spacing w:val="0"/>
          <w:szCs w:val="24"/>
          <w:rtl/>
        </w:rPr>
        <w:t>בישראל</w:t>
      </w:r>
      <w:r w:rsidRPr="003D0AFC">
        <w:rPr>
          <w:rFonts w:ascii="Century" w:hAnsi="Century" w:cs="Miriam"/>
          <w:b/>
          <w:spacing w:val="0"/>
          <w:szCs w:val="24"/>
          <w:rtl/>
        </w:rPr>
        <w:t xml:space="preserve"> </w:t>
      </w:r>
      <w:r w:rsidRPr="003D0AFC">
        <w:rPr>
          <w:rFonts w:ascii="Century" w:hAnsi="Century" w:cs="Miriam" w:hint="eastAsia"/>
          <w:b/>
          <w:spacing w:val="0"/>
          <w:szCs w:val="24"/>
          <w:rtl/>
        </w:rPr>
        <w:t>נ</w:t>
      </w:r>
      <w:r w:rsidRPr="003D0AFC">
        <w:rPr>
          <w:rFonts w:ascii="Century" w:hAnsi="Century" w:cs="Miriam"/>
          <w:b/>
          <w:spacing w:val="0"/>
          <w:szCs w:val="24"/>
          <w:rtl/>
        </w:rPr>
        <w:t xml:space="preserve">' </w:t>
      </w:r>
      <w:r w:rsidRPr="003D0AFC">
        <w:rPr>
          <w:rFonts w:ascii="Century" w:hAnsi="Century" w:cs="Miriam" w:hint="eastAsia"/>
          <w:b/>
          <w:spacing w:val="0"/>
          <w:szCs w:val="24"/>
          <w:rtl/>
        </w:rPr>
        <w:t>הארגון</w:t>
      </w:r>
      <w:r w:rsidRPr="003D0AFC">
        <w:rPr>
          <w:rFonts w:ascii="Century" w:hAnsi="Century" w:cs="Miriam"/>
          <w:b/>
          <w:spacing w:val="0"/>
          <w:szCs w:val="24"/>
          <w:rtl/>
        </w:rPr>
        <w:t xml:space="preserve"> </w:t>
      </w:r>
      <w:r w:rsidRPr="003D0AFC">
        <w:rPr>
          <w:rFonts w:ascii="Century" w:hAnsi="Century" w:cs="Miriam" w:hint="eastAsia"/>
          <w:b/>
          <w:spacing w:val="0"/>
          <w:szCs w:val="24"/>
          <w:rtl/>
        </w:rPr>
        <w:t>הבינלאומי</w:t>
      </w:r>
      <w:r w:rsidRPr="003D0AFC">
        <w:rPr>
          <w:rFonts w:ascii="Century" w:hAnsi="Century" w:cs="Miriam"/>
          <w:b/>
          <w:spacing w:val="0"/>
          <w:szCs w:val="24"/>
          <w:rtl/>
        </w:rPr>
        <w:t xml:space="preserve"> </w:t>
      </w:r>
      <w:r w:rsidRPr="003D0AFC">
        <w:rPr>
          <w:rFonts w:ascii="Century" w:hAnsi="Century" w:cs="Miriam" w:hint="eastAsia"/>
          <w:b/>
          <w:spacing w:val="0"/>
          <w:szCs w:val="24"/>
          <w:rtl/>
        </w:rPr>
        <w:t>של</w:t>
      </w:r>
      <w:r w:rsidRPr="003D0AFC">
        <w:rPr>
          <w:rFonts w:ascii="Century" w:hAnsi="Century" w:cs="Miriam"/>
          <w:b/>
          <w:spacing w:val="0"/>
          <w:szCs w:val="24"/>
          <w:rtl/>
        </w:rPr>
        <w:t xml:space="preserve"> </w:t>
      </w:r>
      <w:r w:rsidRPr="003D0AFC">
        <w:rPr>
          <w:rFonts w:ascii="Century" w:hAnsi="Century" w:cs="Miriam" w:hint="eastAsia"/>
          <w:b/>
          <w:spacing w:val="0"/>
          <w:szCs w:val="24"/>
          <w:rtl/>
        </w:rPr>
        <w:t>עורכי</w:t>
      </w:r>
      <w:r w:rsidRPr="003D0AFC">
        <w:rPr>
          <w:rFonts w:ascii="Century" w:hAnsi="Century" w:cs="Miriam"/>
          <w:b/>
          <w:spacing w:val="0"/>
          <w:szCs w:val="24"/>
          <w:rtl/>
        </w:rPr>
        <w:t xml:space="preserve"> </w:t>
      </w:r>
      <w:r w:rsidRPr="003D0AFC">
        <w:rPr>
          <w:rFonts w:ascii="Century" w:hAnsi="Century" w:cs="Miriam" w:hint="eastAsia"/>
          <w:b/>
          <w:spacing w:val="0"/>
          <w:szCs w:val="24"/>
          <w:rtl/>
        </w:rPr>
        <w:t>דין</w:t>
      </w:r>
      <w:r w:rsidRPr="003D0AFC">
        <w:rPr>
          <w:rFonts w:ascii="Century" w:hAnsi="Century" w:cs="Miriam"/>
          <w:b/>
          <w:spacing w:val="0"/>
          <w:szCs w:val="24"/>
          <w:rtl/>
        </w:rPr>
        <w:t xml:space="preserve"> </w:t>
      </w:r>
      <w:r w:rsidRPr="003D0AFC">
        <w:rPr>
          <w:rFonts w:ascii="Century" w:hAnsi="Century" w:cs="Miriam" w:hint="eastAsia"/>
          <w:b/>
          <w:spacing w:val="0"/>
          <w:szCs w:val="24"/>
          <w:rtl/>
        </w:rPr>
        <w:t>ומשפטנים</w:t>
      </w:r>
      <w:r w:rsidRPr="00AE7B75">
        <w:rPr>
          <w:rtl/>
        </w:rPr>
        <w:t xml:space="preserve">, </w:t>
      </w:r>
      <w:r w:rsidRPr="00AE7B75">
        <w:rPr>
          <w:rFonts w:hint="eastAsia"/>
          <w:rtl/>
        </w:rPr>
        <w:t>פסק</w:t>
      </w:r>
      <w:r>
        <w:rPr>
          <w:rFonts w:hint="cs"/>
          <w:rtl/>
        </w:rPr>
        <w:t xml:space="preserve">ה </w:t>
      </w:r>
      <w:r w:rsidRPr="00AE7B75">
        <w:rPr>
          <w:rtl/>
        </w:rPr>
        <w:t>20 (22.</w:t>
      </w:r>
      <w:r>
        <w:rPr>
          <w:rFonts w:hint="cs"/>
          <w:rtl/>
        </w:rPr>
        <w:t>1</w:t>
      </w:r>
      <w:r w:rsidRPr="00AE7B75">
        <w:rPr>
          <w:rtl/>
        </w:rPr>
        <w:t>.2007)</w:t>
      </w:r>
      <w:r>
        <w:rPr>
          <w:rFonts w:hint="cs"/>
          <w:rtl/>
        </w:rPr>
        <w:t xml:space="preserve">). הנשיא המנוח </w:t>
      </w:r>
      <w:r w:rsidRPr="003D0AFC">
        <w:rPr>
          <w:rFonts w:ascii="Century" w:hAnsi="Century" w:cs="Miriam" w:hint="cs"/>
          <w:b/>
          <w:spacing w:val="0"/>
          <w:sz w:val="22"/>
          <w:szCs w:val="24"/>
          <w:rtl/>
        </w:rPr>
        <w:t>י' זוסמן</w:t>
      </w:r>
      <w:r>
        <w:rPr>
          <w:rFonts w:hint="cs"/>
          <w:rtl/>
        </w:rPr>
        <w:t xml:space="preserve"> הטיב לתאר כלל זה בספרו על פרוצדורה אזרחית:</w:t>
      </w:r>
    </w:p>
    <w:p w:rsidR="00002C55" w:rsidRDefault="00002C55" w:rsidP="00002C55">
      <w:pPr>
        <w:pStyle w:val="Ruller5"/>
        <w:rPr>
          <w:rtl/>
        </w:rPr>
      </w:pPr>
    </w:p>
    <w:p w:rsidR="00553FDC" w:rsidRDefault="00553FDC" w:rsidP="00002C55">
      <w:pPr>
        <w:pStyle w:val="Ruller5"/>
        <w:rPr>
          <w:rtl/>
        </w:rPr>
      </w:pPr>
      <w:r w:rsidRPr="000D7D5C">
        <w:rPr>
          <w:rFonts w:hint="cs"/>
          <w:rtl/>
        </w:rPr>
        <w:t xml:space="preserve">"טענה משפטית טהורה שאין כל ממצא עובדתי כרוך בה, רשאי הנתבע לטעון בשעת בירור המשפט גם אם לא הזכיר אותה בכתב הגנתו. גדולה מזו: </w:t>
      </w:r>
      <w:r w:rsidRPr="00002C55">
        <w:rPr>
          <w:rFonts w:ascii="Century" w:hAnsi="Century" w:cs="Miriam" w:hint="cs"/>
          <w:b/>
          <w:spacing w:val="0"/>
          <w:szCs w:val="24"/>
          <w:rtl/>
        </w:rPr>
        <w:t>אפילו נמנע הנתבע מלטעון את הטענה גם במהלך המשפט, בית המשפט יכול לדון בה מיזמתו הוא, ויש אשר יפסוק בית המשפט, בעיקר מטעמים של טובת הציבור, ביזמתו, בין אם נטענה לפניו טענה פלונית שבה פסק ובין אם לאו, ובלבד שניתנה לבעלי הדין הזדמנות להגיב עליה</w:t>
      </w:r>
      <w:r w:rsidRPr="00002C55">
        <w:rPr>
          <w:rFonts w:hint="cs"/>
          <w:rtl/>
        </w:rPr>
        <w:t xml:space="preserve"> </w:t>
      </w:r>
      <w:r w:rsidRPr="000D7D5C">
        <w:rPr>
          <w:rFonts w:hint="cs"/>
          <w:rtl/>
        </w:rPr>
        <w:t>(ראו</w:t>
      </w:r>
      <w:r>
        <w:rPr>
          <w:rFonts w:hint="cs"/>
          <w:rtl/>
        </w:rPr>
        <w:t>:</w:t>
      </w:r>
      <w:r w:rsidRPr="000D7D5C">
        <w:rPr>
          <w:rFonts w:hint="cs"/>
          <w:rtl/>
        </w:rPr>
        <w:t xml:space="preserve"> יואל זוסמן, </w:t>
      </w:r>
      <w:r w:rsidRPr="00002C55">
        <w:rPr>
          <w:rFonts w:ascii="Century" w:hAnsi="Century" w:cs="Miriam" w:hint="cs"/>
          <w:b/>
          <w:spacing w:val="0"/>
          <w:szCs w:val="24"/>
          <w:rtl/>
        </w:rPr>
        <w:t>סדרי הדין האזרחי</w:t>
      </w:r>
      <w:r w:rsidRPr="000D7D5C">
        <w:rPr>
          <w:rFonts w:hint="cs"/>
          <w:rtl/>
        </w:rPr>
        <w:t xml:space="preserve"> 333 (מהדורה שביעית, ש' לוין עורך, 1995</w:t>
      </w:r>
      <w:r>
        <w:rPr>
          <w:rFonts w:hint="cs"/>
          <w:rtl/>
        </w:rPr>
        <w:t>)</w:t>
      </w:r>
      <w:r w:rsidRPr="000D7D5C">
        <w:rPr>
          <w:rFonts w:hint="cs"/>
          <w:rtl/>
        </w:rPr>
        <w:t xml:space="preserve">; הדגשה הוספה </w:t>
      </w:r>
      <w:r w:rsidRPr="000D7D5C">
        <w:rPr>
          <w:rtl/>
        </w:rPr>
        <w:t>–</w:t>
      </w:r>
      <w:r w:rsidRPr="000D7D5C">
        <w:rPr>
          <w:rFonts w:hint="cs"/>
          <w:rtl/>
        </w:rPr>
        <w:t xml:space="preserve"> א.ש.)</w:t>
      </w:r>
      <w:r>
        <w:rPr>
          <w:rFonts w:hint="cs"/>
          <w:rtl/>
        </w:rPr>
        <w:t>.</w:t>
      </w:r>
    </w:p>
    <w:p w:rsidR="00553FDC" w:rsidRDefault="00553FDC" w:rsidP="00553FDC">
      <w:pPr>
        <w:pStyle w:val="ruller50"/>
        <w:rPr>
          <w:rFonts w:ascii="Century" w:hAnsi="Century" w:cs="FrankRuehl"/>
          <w:szCs w:val="28"/>
          <w:rtl/>
        </w:rPr>
      </w:pPr>
    </w:p>
    <w:p w:rsidR="00553FDC" w:rsidRDefault="00553FDC" w:rsidP="00553FDC">
      <w:pPr>
        <w:pStyle w:val="Ruller41"/>
        <w:rPr>
          <w:rtl/>
        </w:rPr>
      </w:pPr>
      <w:r>
        <w:rPr>
          <w:rtl/>
        </w:rPr>
        <w:tab/>
      </w:r>
      <w:r>
        <w:rPr>
          <w:rFonts w:hint="cs"/>
          <w:rtl/>
        </w:rPr>
        <w:t xml:space="preserve">כמו כן, אצטט את דברי המשנה לנשיא </w:t>
      </w:r>
      <w:r w:rsidRPr="005378DF">
        <w:rPr>
          <w:rFonts w:ascii="Century" w:hAnsi="Century" w:cs="Miriam" w:hint="cs"/>
          <w:b/>
          <w:spacing w:val="0"/>
          <w:szCs w:val="24"/>
          <w:rtl/>
        </w:rPr>
        <w:t>מ' בן פורת</w:t>
      </w:r>
      <w:r>
        <w:rPr>
          <w:rFonts w:hint="cs"/>
          <w:rtl/>
        </w:rPr>
        <w:t>, אשר נאמרו ב</w:t>
      </w:r>
      <w:r>
        <w:rPr>
          <w:rtl/>
        </w:rPr>
        <w:t>בג"ץ 910/86 </w:t>
      </w:r>
      <w:r w:rsidRPr="00EB5BD6">
        <w:rPr>
          <w:rFonts w:ascii="Century" w:hAnsi="Century" w:cs="Miriam"/>
          <w:b/>
          <w:spacing w:val="0"/>
          <w:szCs w:val="24"/>
          <w:rtl/>
        </w:rPr>
        <w:t>רסלר נ' שר הביטח</w:t>
      </w:r>
      <w:r w:rsidRPr="00EB5BD6">
        <w:rPr>
          <w:rFonts w:ascii="Century" w:hAnsi="Century" w:cs="Miriam" w:hint="cs"/>
          <w:b/>
          <w:spacing w:val="0"/>
          <w:szCs w:val="24"/>
          <w:rtl/>
        </w:rPr>
        <w:t>ון</w:t>
      </w:r>
      <w:r>
        <w:rPr>
          <w:rFonts w:hint="cs"/>
          <w:rtl/>
        </w:rPr>
        <w:t>, פ"ד מב(2) 441, 509 (1988):</w:t>
      </w:r>
    </w:p>
    <w:p w:rsidR="00553FDC" w:rsidRDefault="00553FDC" w:rsidP="00553FDC">
      <w:pPr>
        <w:pStyle w:val="Ruller41"/>
        <w:rPr>
          <w:rtl/>
        </w:rPr>
      </w:pPr>
    </w:p>
    <w:p w:rsidR="00553FDC" w:rsidRPr="005378DF" w:rsidRDefault="00553FDC" w:rsidP="00553FDC">
      <w:pPr>
        <w:pStyle w:val="Ruller5"/>
        <w:rPr>
          <w:rtl/>
        </w:rPr>
      </w:pPr>
      <w:r>
        <w:rPr>
          <w:rtl/>
        </w:rPr>
        <w:t>"חרף כל ההבדלים בין משפט רגיל בבתי המשפט האחרים לבין טיבה של עתירה לבג"</w:t>
      </w:r>
      <w:r>
        <w:rPr>
          <w:rFonts w:hint="cs"/>
          <w:rtl/>
        </w:rPr>
        <w:t>ץ</w:t>
      </w:r>
      <w:r>
        <w:rPr>
          <w:rtl/>
        </w:rPr>
        <w:t xml:space="preserve">, רצוי לזכור, שאפילו אין נתבע מסתמך על טענת אי חוקיות, </w:t>
      </w:r>
      <w:r w:rsidRPr="00EB5BD6">
        <w:rPr>
          <w:rFonts w:ascii="Century" w:hAnsi="Century" w:cs="Miriam"/>
          <w:b/>
          <w:spacing w:val="0"/>
          <w:szCs w:val="24"/>
          <w:rtl/>
        </w:rPr>
        <w:t>יוזם בית המשפט</w:t>
      </w:r>
      <w:r>
        <w:rPr>
          <w:rtl/>
        </w:rPr>
        <w:t xml:space="preserve"> את הדיון בשאלה זו, בתנאי שברור בעליל או הוכח מעל לכל ספק, שהפעולה העומדת במרכז הדיון </w:t>
      </w:r>
      <w:r>
        <w:rPr>
          <w:rtl/>
        </w:rPr>
        <w:lastRenderedPageBreak/>
        <w:t>(כגון, חוזה שנכרת) אכן לוקה באי חוקיות</w:t>
      </w:r>
      <w:r>
        <w:rPr>
          <w:rFonts w:hint="cs"/>
          <w:rtl/>
        </w:rPr>
        <w:t xml:space="preserve"> [...]. </w:t>
      </w:r>
      <w:r>
        <w:rPr>
          <w:rtl/>
        </w:rPr>
        <w:t xml:space="preserve">ואם בעניין פרטי כך, בעניין ציבורי הנוגע לפעילותה של רשות לא כל </w:t>
      </w:r>
      <w:r>
        <w:rPr>
          <w:rFonts w:hint="cs"/>
          <w:rtl/>
        </w:rPr>
        <w:t xml:space="preserve">שכן!" (ההדגשה במקור </w:t>
      </w:r>
      <w:r>
        <w:rPr>
          <w:rtl/>
        </w:rPr>
        <w:t>–</w:t>
      </w:r>
      <w:r>
        <w:rPr>
          <w:rFonts w:hint="cs"/>
          <w:rtl/>
        </w:rPr>
        <w:t xml:space="preserve"> א.ש.).</w:t>
      </w:r>
    </w:p>
    <w:p w:rsidR="00553FDC" w:rsidRDefault="00553FDC" w:rsidP="00553FDC">
      <w:pPr>
        <w:pStyle w:val="ruller50"/>
        <w:rPr>
          <w:rFonts w:ascii="Century" w:hAnsi="Century" w:cs="FrankRuehl"/>
          <w:szCs w:val="28"/>
        </w:rPr>
      </w:pPr>
    </w:p>
    <w:p w:rsidR="00553FDC" w:rsidRDefault="00553FDC" w:rsidP="00553FDC">
      <w:pPr>
        <w:pStyle w:val="Ruller4"/>
      </w:pPr>
      <w:r>
        <w:rPr>
          <w:rFonts w:hint="cs"/>
          <w:rtl/>
        </w:rPr>
        <w:t xml:space="preserve">הרשאתו של בית המשפט להעלות בפסק דינו נימוקי הכרעה מיוזמתו-שלו, כאשר הדבר דרוש לשם עשיית צדק, מצאה את מקומה גם בתקנות סדר הדין האזרחי, התשמ"ד-1984 (להלן: </w:t>
      </w:r>
      <w:r w:rsidRPr="00B61A29">
        <w:rPr>
          <w:rFonts w:ascii="Century" w:hAnsi="Century" w:cs="Miriam" w:hint="cs"/>
          <w:b/>
          <w:spacing w:val="0"/>
          <w:sz w:val="22"/>
          <w:szCs w:val="24"/>
          <w:rtl/>
        </w:rPr>
        <w:t>התקנות הישנות</w:t>
      </w:r>
      <w:r>
        <w:rPr>
          <w:rFonts w:hint="cs"/>
          <w:rtl/>
        </w:rPr>
        <w:t xml:space="preserve">) ובתקנות סדר הדין האזרחי, התשע"ט-2018 (להלן: </w:t>
      </w:r>
      <w:r w:rsidRPr="00B61A29">
        <w:rPr>
          <w:rFonts w:ascii="Century" w:hAnsi="Century" w:cs="Miriam" w:hint="cs"/>
          <w:b/>
          <w:spacing w:val="0"/>
          <w:sz w:val="22"/>
          <w:szCs w:val="24"/>
          <w:rtl/>
        </w:rPr>
        <w:t>התקנות החדשות</w:t>
      </w:r>
      <w:r>
        <w:rPr>
          <w:rFonts w:hint="cs"/>
          <w:rtl/>
        </w:rPr>
        <w:t xml:space="preserve">). תקנה 415 סיפא לתקנות הישנות ותקנה 146 לתקנות החדשות קובעות במפורש כי בית המשפט שלערעור רשאי להכריע בערעור </w:t>
      </w:r>
      <w:r w:rsidRPr="00B61A29">
        <w:rPr>
          <w:rFonts w:ascii="Century" w:hAnsi="Century" w:cs="Miriam" w:hint="eastAsia"/>
          <w:b/>
          <w:spacing w:val="0"/>
          <w:sz w:val="22"/>
          <w:szCs w:val="24"/>
          <w:rtl/>
        </w:rPr>
        <w:t>שלא</w:t>
      </w:r>
      <w:r w:rsidRPr="00B61A29">
        <w:rPr>
          <w:rFonts w:ascii="Century" w:hAnsi="Century" w:cs="Miriam"/>
          <w:b/>
          <w:spacing w:val="0"/>
          <w:sz w:val="22"/>
          <w:szCs w:val="24"/>
          <w:rtl/>
        </w:rPr>
        <w:t xml:space="preserve"> </w:t>
      </w:r>
      <w:r w:rsidRPr="00B61A29">
        <w:rPr>
          <w:rFonts w:ascii="Century" w:hAnsi="Century" w:cs="Miriam" w:hint="eastAsia"/>
          <w:b/>
          <w:spacing w:val="0"/>
          <w:sz w:val="22"/>
          <w:szCs w:val="24"/>
          <w:rtl/>
        </w:rPr>
        <w:t>על</w:t>
      </w:r>
      <w:r w:rsidRPr="00B61A29">
        <w:rPr>
          <w:rFonts w:ascii="Century" w:hAnsi="Century" w:cs="Miriam"/>
          <w:b/>
          <w:spacing w:val="0"/>
          <w:sz w:val="22"/>
          <w:szCs w:val="24"/>
          <w:rtl/>
        </w:rPr>
        <w:t>-</w:t>
      </w:r>
      <w:r w:rsidRPr="00B61A29">
        <w:rPr>
          <w:rFonts w:ascii="Century" w:hAnsi="Century" w:cs="Miriam" w:hint="eastAsia"/>
          <w:b/>
          <w:spacing w:val="0"/>
          <w:sz w:val="22"/>
          <w:szCs w:val="24"/>
          <w:rtl/>
        </w:rPr>
        <w:t>פי</w:t>
      </w:r>
      <w:r w:rsidRPr="00B61A29">
        <w:rPr>
          <w:rFonts w:ascii="Century" w:hAnsi="Century" w:cs="Miriam"/>
          <w:b/>
          <w:spacing w:val="0"/>
          <w:sz w:val="22"/>
          <w:szCs w:val="24"/>
          <w:rtl/>
        </w:rPr>
        <w:t xml:space="preserve"> </w:t>
      </w:r>
      <w:r w:rsidRPr="00B61A29">
        <w:rPr>
          <w:rFonts w:ascii="Century" w:hAnsi="Century" w:cs="Miriam" w:hint="eastAsia"/>
          <w:b/>
          <w:spacing w:val="0"/>
          <w:sz w:val="22"/>
          <w:szCs w:val="24"/>
          <w:rtl/>
        </w:rPr>
        <w:t>הטענות</w:t>
      </w:r>
      <w:r w:rsidRPr="00B61A29">
        <w:rPr>
          <w:rFonts w:ascii="Century" w:hAnsi="Century" w:cs="Miriam"/>
          <w:b/>
          <w:spacing w:val="0"/>
          <w:sz w:val="22"/>
          <w:szCs w:val="24"/>
          <w:rtl/>
        </w:rPr>
        <w:t xml:space="preserve"> </w:t>
      </w:r>
      <w:r w:rsidRPr="00B61A29">
        <w:rPr>
          <w:rFonts w:ascii="Century" w:hAnsi="Century" w:cs="Miriam" w:hint="eastAsia"/>
          <w:b/>
          <w:spacing w:val="0"/>
          <w:sz w:val="22"/>
          <w:szCs w:val="24"/>
          <w:rtl/>
        </w:rPr>
        <w:t>שנטענו</w:t>
      </w:r>
      <w:r w:rsidRPr="00B61A29">
        <w:rPr>
          <w:rFonts w:ascii="Century" w:hAnsi="Century" w:cs="Miriam"/>
          <w:b/>
          <w:spacing w:val="0"/>
          <w:sz w:val="22"/>
          <w:szCs w:val="24"/>
          <w:rtl/>
        </w:rPr>
        <w:t xml:space="preserve"> </w:t>
      </w:r>
      <w:r w:rsidRPr="00B61A29">
        <w:rPr>
          <w:rFonts w:ascii="Century" w:hAnsi="Century" w:cs="Miriam" w:hint="eastAsia"/>
          <w:b/>
          <w:spacing w:val="0"/>
          <w:sz w:val="22"/>
          <w:szCs w:val="24"/>
          <w:rtl/>
        </w:rPr>
        <w:t>לפניו</w:t>
      </w:r>
      <w:r>
        <w:rPr>
          <w:rFonts w:hint="cs"/>
          <w:rtl/>
        </w:rPr>
        <w:t xml:space="preserve"> (ראו: רע"א 9138/20 </w:t>
      </w:r>
      <w:r w:rsidRPr="00B61A29">
        <w:rPr>
          <w:rFonts w:ascii="Century" w:hAnsi="Century" w:cs="Miriam" w:hint="cs"/>
          <w:b/>
          <w:spacing w:val="0"/>
          <w:sz w:val="22"/>
          <w:szCs w:val="24"/>
          <w:rtl/>
        </w:rPr>
        <w:t>פיסטול נ' שמעון</w:t>
      </w:r>
      <w:r w:rsidRPr="00B61A29">
        <w:rPr>
          <w:rFonts w:ascii="Century" w:hAnsi="Century" w:hint="cs"/>
          <w:sz w:val="22"/>
          <w:rtl/>
        </w:rPr>
        <w:t xml:space="preserve">, פסקאות 15-14 (7.2.2021) (להלן: עניין </w:t>
      </w:r>
      <w:r w:rsidRPr="00B61A29">
        <w:rPr>
          <w:rFonts w:ascii="Century" w:hAnsi="Century" w:cs="Miriam" w:hint="cs"/>
          <w:b/>
          <w:spacing w:val="0"/>
          <w:sz w:val="22"/>
          <w:szCs w:val="24"/>
          <w:rtl/>
        </w:rPr>
        <w:t>פיסטול</w:t>
      </w:r>
      <w:r w:rsidRPr="00B61A29">
        <w:rPr>
          <w:rFonts w:ascii="Century" w:hAnsi="Century" w:hint="cs"/>
          <w:sz w:val="22"/>
          <w:rtl/>
        </w:rPr>
        <w:t>)).</w:t>
      </w:r>
    </w:p>
    <w:p w:rsidR="00553FDC" w:rsidRDefault="00553FDC" w:rsidP="00553FDC">
      <w:pPr>
        <w:pStyle w:val="Ruller4"/>
        <w:numPr>
          <w:ilvl w:val="0"/>
          <w:numId w:val="0"/>
        </w:numPr>
      </w:pPr>
    </w:p>
    <w:p w:rsidR="00553FDC" w:rsidRPr="004F0EFB" w:rsidRDefault="00553FDC" w:rsidP="00553FDC">
      <w:pPr>
        <w:pStyle w:val="Ruller4"/>
      </w:pPr>
      <w:r>
        <w:rPr>
          <w:rFonts w:hint="cs"/>
          <w:rtl/>
        </w:rPr>
        <w:t xml:space="preserve">בענייננו-שלנו: כל משיב בעתירה אשר מבקשת את פסילתו של דבר חקיקה ראשית על סמך הכללים והעקרונות החוקתיים שמעליה יודע </w:t>
      </w:r>
      <w:r>
        <w:rPr>
          <w:rtl/>
        </w:rPr>
        <w:t>–</w:t>
      </w:r>
      <w:r>
        <w:rPr>
          <w:rFonts w:hint="cs"/>
          <w:rtl/>
        </w:rPr>
        <w:t xml:space="preserve"> או, למצער, חייב לדעת </w:t>
      </w:r>
      <w:r>
        <w:rPr>
          <w:rtl/>
        </w:rPr>
        <w:t>–</w:t>
      </w:r>
      <w:r>
        <w:rPr>
          <w:rFonts w:hint="cs"/>
          <w:rtl/>
        </w:rPr>
        <w:t xml:space="preserve"> שלהכרזת העצמאות עשויה להיות השפעה על החלטת בית המשפט בדבר פסילתו או אי-פסילתו של החוק מושא המחלוקת. עניינה של הכרזת העצמאות כיסוד-מוסד של הדין הישראלי כולו עלה בפסקי הדין המכוננים של הנשיאים </w:t>
      </w:r>
      <w:r w:rsidRPr="00B61A29">
        <w:rPr>
          <w:rFonts w:ascii="Century" w:hAnsi="Century" w:cs="Miriam" w:hint="cs"/>
          <w:b/>
          <w:spacing w:val="0"/>
          <w:sz w:val="22"/>
          <w:szCs w:val="24"/>
          <w:rtl/>
        </w:rPr>
        <w:t>שמגר</w:t>
      </w:r>
      <w:r>
        <w:rPr>
          <w:rFonts w:hint="cs"/>
          <w:rtl/>
        </w:rPr>
        <w:t xml:space="preserve"> ו</w:t>
      </w:r>
      <w:r w:rsidRPr="00B61A29">
        <w:rPr>
          <w:rFonts w:ascii="Century" w:hAnsi="Century" w:cs="Miriam" w:hint="cs"/>
          <w:b/>
          <w:spacing w:val="0"/>
          <w:sz w:val="22"/>
          <w:szCs w:val="24"/>
          <w:rtl/>
        </w:rPr>
        <w:t>ברק</w:t>
      </w:r>
      <w:r>
        <w:rPr>
          <w:rFonts w:hint="cs"/>
          <w:rtl/>
        </w:rPr>
        <w:t xml:space="preserve"> בעניין </w:t>
      </w:r>
      <w:r w:rsidRPr="00B61A29">
        <w:rPr>
          <w:rFonts w:ascii="Century" w:hAnsi="Century" w:cs="Miriam" w:hint="cs"/>
          <w:b/>
          <w:spacing w:val="0"/>
          <w:sz w:val="22"/>
          <w:szCs w:val="24"/>
          <w:rtl/>
        </w:rPr>
        <w:t>בנק המזרחי</w:t>
      </w:r>
      <w:r>
        <w:rPr>
          <w:rFonts w:hint="cs"/>
          <w:rtl/>
        </w:rPr>
        <w:t xml:space="preserve"> (ראו שם: פסקאות 31 ו-50 לפסק דינו של הנשיא </w:t>
      </w:r>
      <w:r w:rsidRPr="00B61A29">
        <w:rPr>
          <w:rFonts w:ascii="Century" w:hAnsi="Century" w:cs="Miriam" w:hint="cs"/>
          <w:b/>
          <w:spacing w:val="0"/>
          <w:sz w:val="22"/>
          <w:szCs w:val="24"/>
          <w:rtl/>
        </w:rPr>
        <w:t>שמגר</w:t>
      </w:r>
      <w:r>
        <w:rPr>
          <w:rFonts w:hint="cs"/>
          <w:rtl/>
        </w:rPr>
        <w:t xml:space="preserve">, וכן פסקה 10 לפסק דינו של הנשיא </w:t>
      </w:r>
      <w:r w:rsidRPr="00B61A29">
        <w:rPr>
          <w:rFonts w:ascii="Century" w:hAnsi="Century" w:cs="Miriam" w:hint="cs"/>
          <w:b/>
          <w:spacing w:val="0"/>
          <w:sz w:val="22"/>
          <w:szCs w:val="24"/>
          <w:rtl/>
        </w:rPr>
        <w:t>ברק</w:t>
      </w:r>
      <w:r>
        <w:rPr>
          <w:rFonts w:hint="cs"/>
          <w:rtl/>
        </w:rPr>
        <w:t xml:space="preserve">; בעניינה של הכרזת העצמאות כביטוי משפטי לנורמה בסיסית כאמור, ראו גם: אהרן ברק, </w:t>
      </w:r>
      <w:r w:rsidRPr="00B61A29">
        <w:rPr>
          <w:rFonts w:ascii="Century" w:hAnsi="Century" w:cs="Miriam" w:hint="cs"/>
          <w:b/>
          <w:spacing w:val="0"/>
          <w:sz w:val="22"/>
          <w:szCs w:val="24"/>
          <w:rtl/>
        </w:rPr>
        <w:t xml:space="preserve">חוק יסוד: כבוד האדם וחירותו וחוק יסוד: חופש העיסוק </w:t>
      </w:r>
      <w:r w:rsidRPr="00B61A29">
        <w:rPr>
          <w:rFonts w:ascii="Century" w:hAnsi="Century" w:cs="Miriam"/>
          <w:b/>
          <w:spacing w:val="0"/>
          <w:sz w:val="22"/>
          <w:szCs w:val="24"/>
          <w:rtl/>
        </w:rPr>
        <w:t>–</w:t>
      </w:r>
      <w:r w:rsidRPr="00B61A29">
        <w:rPr>
          <w:rFonts w:ascii="Century" w:hAnsi="Century" w:cs="Miriam" w:hint="cs"/>
          <w:b/>
          <w:spacing w:val="0"/>
          <w:sz w:val="22"/>
          <w:szCs w:val="24"/>
          <w:rtl/>
        </w:rPr>
        <w:t xml:space="preserve"> כרך א': תורת הזכויות החוקתיות</w:t>
      </w:r>
      <w:r>
        <w:rPr>
          <w:rFonts w:hint="cs"/>
          <w:rtl/>
        </w:rPr>
        <w:t xml:space="preserve"> 448-447 (2023)). </w:t>
      </w:r>
    </w:p>
    <w:p w:rsidR="00553FDC" w:rsidRPr="004F0EFB" w:rsidRDefault="00553FDC" w:rsidP="00553FDC">
      <w:pPr>
        <w:pStyle w:val="Ruller4"/>
        <w:numPr>
          <w:ilvl w:val="0"/>
          <w:numId w:val="0"/>
        </w:numPr>
      </w:pPr>
    </w:p>
    <w:p w:rsidR="00553FDC" w:rsidRDefault="00553FDC" w:rsidP="00553FDC">
      <w:pPr>
        <w:pStyle w:val="Ruller4"/>
        <w:rPr>
          <w:rtl/>
        </w:rPr>
      </w:pPr>
      <w:r>
        <w:rPr>
          <w:rFonts w:hint="cs"/>
          <w:rtl/>
        </w:rPr>
        <w:t xml:space="preserve">שופט חייב לפסוק דין אמת לאמיתו בכל מקרה שמובא לפניו. כפי שקבע השופט </w:t>
      </w:r>
      <w:r>
        <w:rPr>
          <w:rFonts w:ascii="Century" w:hAnsi="Century" w:cs="Miriam" w:hint="cs"/>
          <w:b/>
          <w:spacing w:val="0"/>
          <w:sz w:val="22"/>
          <w:szCs w:val="24"/>
          <w:rtl/>
        </w:rPr>
        <w:t xml:space="preserve">נ' </w:t>
      </w:r>
      <w:r w:rsidRPr="00E537FD">
        <w:rPr>
          <w:rFonts w:ascii="Century" w:hAnsi="Century" w:cs="Miriam" w:hint="cs"/>
          <w:b/>
          <w:spacing w:val="0"/>
          <w:sz w:val="22"/>
          <w:szCs w:val="24"/>
          <w:rtl/>
        </w:rPr>
        <w:t>סולברג</w:t>
      </w:r>
      <w:r>
        <w:rPr>
          <w:rFonts w:hint="cs"/>
          <w:rtl/>
        </w:rPr>
        <w:t xml:space="preserve">, "מקום שבו רואה בית המשפט, בדרכו לחקר האמת, ובחתירתו לתוצאה נכונה, כי נדרש הוא להעלות טענה מסוימת מיזמתו, </w:t>
      </w:r>
      <w:r w:rsidRPr="00E537FD">
        <w:rPr>
          <w:rFonts w:ascii="Century" w:hAnsi="Century" w:cs="Miriam" w:hint="cs"/>
          <w:b/>
          <w:spacing w:val="0"/>
          <w:sz w:val="22"/>
          <w:szCs w:val="24"/>
          <w:rtl/>
        </w:rPr>
        <w:t>מוטל עליו לעשות כן, כדי לקדם הליך ראוי והוגן</w:t>
      </w:r>
      <w:r>
        <w:rPr>
          <w:rFonts w:hint="cs"/>
          <w:rtl/>
        </w:rPr>
        <w:t xml:space="preserve">" (ראו: עניין </w:t>
      </w:r>
      <w:r>
        <w:rPr>
          <w:rFonts w:ascii="Century" w:hAnsi="Century" w:cs="Miriam" w:hint="cs"/>
          <w:b/>
          <w:spacing w:val="0"/>
          <w:sz w:val="22"/>
          <w:szCs w:val="24"/>
          <w:rtl/>
        </w:rPr>
        <w:t>פיסטול</w:t>
      </w:r>
      <w:r>
        <w:rPr>
          <w:rFonts w:ascii="Century" w:hAnsi="Century" w:hint="cs"/>
          <w:sz w:val="22"/>
          <w:rtl/>
        </w:rPr>
        <w:t xml:space="preserve">, פסקה 15; ההדגשה הוספה </w:t>
      </w:r>
      <w:r>
        <w:rPr>
          <w:rFonts w:ascii="Century" w:hAnsi="Century"/>
          <w:sz w:val="22"/>
          <w:rtl/>
        </w:rPr>
        <w:t>–</w:t>
      </w:r>
      <w:r>
        <w:rPr>
          <w:rFonts w:ascii="Century" w:hAnsi="Century" w:hint="cs"/>
          <w:sz w:val="22"/>
          <w:rtl/>
        </w:rPr>
        <w:t xml:space="preserve"> א.ש.).</w:t>
      </w:r>
      <w:r>
        <w:rPr>
          <w:rFonts w:hint="cs"/>
          <w:rtl/>
        </w:rPr>
        <w:t xml:space="preserve"> דברים אלה נאמרו בהליך אזרחי. במקרים כדוגמת זה שלפנינו </w:t>
      </w:r>
      <w:r>
        <w:rPr>
          <w:rtl/>
        </w:rPr>
        <w:t>–</w:t>
      </w:r>
      <w:r>
        <w:rPr>
          <w:rFonts w:hint="cs"/>
          <w:rtl/>
        </w:rPr>
        <w:t xml:space="preserve"> בו מדובר בעתירות ציבוריות שעניינן סוגיה חוקתית רוחבית רבת-חשיבות </w:t>
      </w:r>
      <w:r>
        <w:rPr>
          <w:rtl/>
        </w:rPr>
        <w:t>–</w:t>
      </w:r>
      <w:r>
        <w:rPr>
          <w:rFonts w:hint="cs"/>
          <w:rtl/>
        </w:rPr>
        <w:t xml:space="preserve"> הם נכונים ביתר שאת. </w:t>
      </w:r>
    </w:p>
    <w:p w:rsidR="00553FDC" w:rsidRPr="00E537FD" w:rsidRDefault="00553FDC" w:rsidP="00553FDC">
      <w:pPr>
        <w:pStyle w:val="Ruller41"/>
      </w:pPr>
    </w:p>
    <w:p w:rsidR="00553FDC" w:rsidRDefault="00553FDC" w:rsidP="00553FDC">
      <w:pPr>
        <w:pStyle w:val="Ruller4"/>
      </w:pPr>
      <w:r>
        <w:rPr>
          <w:rFonts w:hint="cs"/>
          <w:rtl/>
        </w:rPr>
        <w:t xml:space="preserve">זאת ועוד. אילו הייתי חייב להימנע מלדון בתקפותו של החוק המתקן בעמדו מול הכרזת העצמאות, אזי </w:t>
      </w:r>
      <w:r>
        <w:rPr>
          <w:rtl/>
        </w:rPr>
        <w:t>–</w:t>
      </w:r>
      <w:r>
        <w:rPr>
          <w:rFonts w:hint="cs"/>
          <w:rtl/>
        </w:rPr>
        <w:t xml:space="preserve"> בהינתן אי-הסכמתי העקרונית עם הגישה הפרשנית ששמה "תכלית אובייקטיבית" </w:t>
      </w:r>
      <w:r>
        <w:rPr>
          <w:rtl/>
        </w:rPr>
        <w:t>–</w:t>
      </w:r>
      <w:r>
        <w:rPr>
          <w:rFonts w:hint="cs"/>
          <w:rtl/>
        </w:rPr>
        <w:t xml:space="preserve"> חייב הייתי לדחות את העתירות שלפנינו ביודעי כי דינן להתקבל. פשיטא הוא, כי תוצאה זו אינה מתקבלת על הדעת. </w:t>
      </w:r>
    </w:p>
    <w:p w:rsidR="00553FDC" w:rsidRPr="00B7053D" w:rsidRDefault="00553FDC" w:rsidP="00553FDC">
      <w:pPr>
        <w:pStyle w:val="Ruller41"/>
      </w:pPr>
    </w:p>
    <w:p w:rsidR="00553FDC" w:rsidRDefault="00553FDC" w:rsidP="00553FDC">
      <w:pPr>
        <w:pStyle w:val="Ruller4"/>
        <w:rPr>
          <w:rtl/>
        </w:rPr>
      </w:pPr>
      <w:r>
        <w:rPr>
          <w:rFonts w:hint="cs"/>
          <w:rtl/>
        </w:rPr>
        <w:t>כאן המקום להתייחס בקצרה לאיסור על "שינוי כללי משחק תוך כדי המשחק" אשר על חל בחירות. למיטב ידיעתי, איסור זה הוחל עד כה על החלטות מינהל ועל חקיקת-משנה (כאמור בפסק הדין שניתן ב</w:t>
      </w:r>
      <w:r w:rsidRPr="002E36A0">
        <w:rPr>
          <w:rtl/>
        </w:rPr>
        <w:t xml:space="preserve">בג"ץ 7181/08 </w:t>
      </w:r>
      <w:r w:rsidRPr="00C314CD">
        <w:rPr>
          <w:rFonts w:ascii="Century" w:hAnsi="Century" w:cs="Miriam"/>
          <w:b/>
          <w:spacing w:val="0"/>
          <w:sz w:val="22"/>
          <w:szCs w:val="24"/>
          <w:rtl/>
        </w:rPr>
        <w:t>לוינטל נ' שר הפנים</w:t>
      </w:r>
      <w:r w:rsidRPr="002E36A0">
        <w:rPr>
          <w:rtl/>
        </w:rPr>
        <w:t xml:space="preserve"> (10.11.2008)</w:t>
      </w:r>
      <w:r>
        <w:rPr>
          <w:rFonts w:hint="cs"/>
          <w:rtl/>
        </w:rPr>
        <w:t xml:space="preserve">, אליו מפנה חברתי, השופטת </w:t>
      </w:r>
      <w:r w:rsidRPr="00C314CD">
        <w:rPr>
          <w:rFonts w:ascii="Century" w:hAnsi="Century" w:cs="Miriam" w:hint="cs"/>
          <w:b/>
          <w:spacing w:val="0"/>
          <w:sz w:val="22"/>
          <w:szCs w:val="24"/>
          <w:rtl/>
        </w:rPr>
        <w:t>י' וילנר</w:t>
      </w:r>
      <w:r>
        <w:rPr>
          <w:rFonts w:hint="cs"/>
          <w:rtl/>
        </w:rPr>
        <w:t xml:space="preserve">) </w:t>
      </w:r>
      <w:r>
        <w:rPr>
          <w:rtl/>
        </w:rPr>
        <w:t>–</w:t>
      </w:r>
      <w:r>
        <w:rPr>
          <w:rFonts w:hint="cs"/>
          <w:rtl/>
        </w:rPr>
        <w:t xml:space="preserve"> </w:t>
      </w:r>
      <w:r w:rsidRPr="00C314CD">
        <w:rPr>
          <w:rFonts w:ascii="Century" w:hAnsi="Century" w:cs="Miriam" w:hint="cs"/>
          <w:b/>
          <w:spacing w:val="0"/>
          <w:sz w:val="22"/>
          <w:szCs w:val="24"/>
          <w:rtl/>
        </w:rPr>
        <w:t>להבדיל אלף הבדלות</w:t>
      </w:r>
      <w:r w:rsidRPr="002E36A0">
        <w:rPr>
          <w:rFonts w:hint="cs"/>
          <w:rtl/>
        </w:rPr>
        <w:t xml:space="preserve"> </w:t>
      </w:r>
      <w:r w:rsidRPr="00C314CD">
        <w:rPr>
          <w:rFonts w:ascii="Century" w:hAnsi="Century" w:cs="Miriam" w:hint="cs"/>
          <w:b/>
          <w:spacing w:val="0"/>
          <w:sz w:val="22"/>
          <w:szCs w:val="24"/>
          <w:u w:val="single"/>
          <w:rtl/>
        </w:rPr>
        <w:t>מחקיקה ראשית</w:t>
      </w:r>
      <w:r>
        <w:rPr>
          <w:rFonts w:hint="cs"/>
          <w:rtl/>
        </w:rPr>
        <w:t xml:space="preserve">. חשבו על חוק היפותטי אשר נחקק בתקופת הבחירות לתחולה מיידית, ואשר מחייב כל מועמדת ומועמד לרשות העיר לפרסם רשימה של ניגודי אינטרסים בין תפקידה או תפקידו המיוחל כראש העיר לבין ענייניו או ענייניה האישיים. בחוק היפותטי זה אין כל רע למרות שהוא משנה את כללי המשחק הפוליטי אחרי שהמשחק כבר החל. חוק זה חל באופן שוויוני על כל מועמד ומועמדת לראשות העיר ואינו מרע את מצבו של איש לעומת מתחרהו. איני רואה אפוא כיצד ניתן לבטל חוק זה, או להורות על דחיית תחולתו לבחירות הבאות, על ידי החלטה שיפוטית. זאת, בשונה מחוק כדוגמת זה שלפנינו אשר פוגע בזכות חוקתית לשוויון. החוק שלפנינו מתיימר לפגוע בזכות על-חוקית, דבר שהכנסת אינה מוסמכת לעשות. במצב דברים זה, שומה עלינו לראות בחוק זה </w:t>
      </w:r>
      <w:r>
        <w:rPr>
          <w:rtl/>
        </w:rPr>
        <w:t>–</w:t>
      </w:r>
      <w:r>
        <w:rPr>
          <w:rFonts w:hint="cs"/>
          <w:rtl/>
        </w:rPr>
        <w:t xml:space="preserve"> בניגוד לשם "חוק מתקן" שהוצמד אליו </w:t>
      </w:r>
      <w:r>
        <w:rPr>
          <w:rtl/>
        </w:rPr>
        <w:t>–</w:t>
      </w:r>
      <w:r>
        <w:rPr>
          <w:rFonts w:hint="cs"/>
          <w:rtl/>
        </w:rPr>
        <w:t xml:space="preserve"> חוק מקלקל; ואחרי שידענו שבפנינו חוק מקלקל ושניתן להימנע מביטולו, שומה עלינו לתקנו, כפי שהצעתי בחוות דעתי.</w:t>
      </w:r>
    </w:p>
    <w:p w:rsidR="00553FDC" w:rsidRPr="00C314CD" w:rsidRDefault="00553FDC" w:rsidP="00553FDC">
      <w:pPr>
        <w:pStyle w:val="Ruller41"/>
      </w:pPr>
    </w:p>
    <w:p w:rsidR="00553FDC" w:rsidRDefault="00553FDC" w:rsidP="00553FDC">
      <w:pPr>
        <w:pStyle w:val="Ruller4"/>
      </w:pPr>
      <w:r>
        <w:rPr>
          <w:rFonts w:hint="cs"/>
          <w:rtl/>
        </w:rPr>
        <w:t xml:space="preserve">חברי, השופט </w:t>
      </w:r>
      <w:r w:rsidRPr="00E25C2F">
        <w:rPr>
          <w:rFonts w:ascii="Century" w:hAnsi="Century" w:cs="Miriam" w:hint="cs"/>
          <w:b/>
          <w:spacing w:val="0"/>
          <w:sz w:val="22"/>
          <w:szCs w:val="24"/>
          <w:rtl/>
        </w:rPr>
        <w:t>נ' סולברג</w:t>
      </w:r>
      <w:r>
        <w:rPr>
          <w:rFonts w:hint="cs"/>
          <w:rtl/>
        </w:rPr>
        <w:t xml:space="preserve">, מעלה מספר תהיות ודברי ביקורת ביחס לגישתי החוקתית. הוא שואל: (1) </w:t>
      </w:r>
      <w:r w:rsidRPr="00E25C2F">
        <w:rPr>
          <w:rtl/>
        </w:rPr>
        <w:t>כיצד מתיישבת קביעת</w:t>
      </w:r>
      <w:r>
        <w:rPr>
          <w:rFonts w:hint="cs"/>
          <w:rtl/>
        </w:rPr>
        <w:t>י</w:t>
      </w:r>
      <w:r>
        <w:rPr>
          <w:rtl/>
        </w:rPr>
        <w:t xml:space="preserve"> עם הוראת ההכרזה עצמה</w:t>
      </w:r>
      <w:r w:rsidRPr="00E25C2F">
        <w:rPr>
          <w:rtl/>
        </w:rPr>
        <w:t xml:space="preserve"> על כינון חוקה עתידית שתיקבע על-ידי אסיפה מכוננת נבחרת?</w:t>
      </w:r>
      <w:r>
        <w:rPr>
          <w:rFonts w:hint="cs"/>
          <w:rtl/>
        </w:rPr>
        <w:t>; (2)</w:t>
      </w:r>
      <w:r w:rsidRPr="00E25C2F">
        <w:rPr>
          <w:rtl/>
        </w:rPr>
        <w:t xml:space="preserve"> האמנם קביעת</w:t>
      </w:r>
      <w:r>
        <w:rPr>
          <w:rFonts w:hint="cs"/>
          <w:rtl/>
        </w:rPr>
        <w:t>י</w:t>
      </w:r>
      <w:r w:rsidRPr="00E25C2F">
        <w:rPr>
          <w:rtl/>
        </w:rPr>
        <w:t xml:space="preserve"> עולה בקנה אחד עם האופן שבו חותמי מגיל</w:t>
      </w:r>
      <w:r>
        <w:rPr>
          <w:rtl/>
        </w:rPr>
        <w:t>ת העצמאות תפסו את תפקידם ופועלם</w:t>
      </w:r>
      <w:r w:rsidRPr="00E25C2F">
        <w:rPr>
          <w:rtl/>
        </w:rPr>
        <w:t xml:space="preserve"> עם ההיסטוריה של ההכרזה, הליכי חיבורה, ניסוחה וחתימתה?</w:t>
      </w:r>
      <w:r>
        <w:rPr>
          <w:rFonts w:hint="cs"/>
          <w:rtl/>
        </w:rPr>
        <w:t>; (3)</w:t>
      </w:r>
      <w:r w:rsidRPr="00E25C2F">
        <w:rPr>
          <w:rtl/>
        </w:rPr>
        <w:t xml:space="preserve"> מה </w:t>
      </w:r>
      <w:r>
        <w:rPr>
          <w:rFonts w:hint="cs"/>
          <w:rtl/>
        </w:rPr>
        <w:t>לגבי</w:t>
      </w:r>
      <w:r w:rsidRPr="00E25C2F">
        <w:rPr>
          <w:rtl/>
        </w:rPr>
        <w:t xml:space="preserve"> טיבה של מועצת המדינה הזמנית כגוף שעיקרו לא י</w:t>
      </w:r>
      <w:r>
        <w:rPr>
          <w:rFonts w:hint="cs"/>
          <w:rtl/>
        </w:rPr>
        <w:t>י</w:t>
      </w:r>
      <w:r>
        <w:rPr>
          <w:rtl/>
        </w:rPr>
        <w:t>צוגי ולא נבחר?</w:t>
      </w:r>
      <w:r>
        <w:rPr>
          <w:rFonts w:hint="cs"/>
          <w:rtl/>
        </w:rPr>
        <w:t xml:space="preserve">; (4) </w:t>
      </w:r>
      <w:r w:rsidRPr="00E25C2F">
        <w:rPr>
          <w:rtl/>
        </w:rPr>
        <w:t>האם משמעות קביעת</w:t>
      </w:r>
      <w:r>
        <w:rPr>
          <w:rFonts w:hint="cs"/>
          <w:rtl/>
        </w:rPr>
        <w:t>י</w:t>
      </w:r>
      <w:r>
        <w:rPr>
          <w:rtl/>
        </w:rPr>
        <w:t xml:space="preserve"> היא שלע</w:t>
      </w:r>
      <w:r w:rsidRPr="00E25C2F">
        <w:rPr>
          <w:rtl/>
        </w:rPr>
        <w:t>נ</w:t>
      </w:r>
      <w:r>
        <w:rPr>
          <w:rFonts w:hint="cs"/>
          <w:rtl/>
        </w:rPr>
        <w:t>י</w:t>
      </w:r>
      <w:r w:rsidRPr="00E25C2F">
        <w:rPr>
          <w:rtl/>
        </w:rPr>
        <w:t xml:space="preserve">ינו, קמה וגם ניצבה, סדרה של </w:t>
      </w:r>
      <w:r>
        <w:rPr>
          <w:rFonts w:hint="cs"/>
          <w:rtl/>
        </w:rPr>
        <w:t>"</w:t>
      </w:r>
      <w:r w:rsidRPr="00E25C2F">
        <w:rPr>
          <w:rtl/>
        </w:rPr>
        <w:t>הוראות נצחיוּת</w:t>
      </w:r>
      <w:r>
        <w:rPr>
          <w:rFonts w:hint="cs"/>
          <w:rtl/>
        </w:rPr>
        <w:t>"</w:t>
      </w:r>
      <w:r w:rsidRPr="00E25C2F">
        <w:rPr>
          <w:rtl/>
        </w:rPr>
        <w:t xml:space="preserve"> שאין המכונן ולא המחוקק הישראלי יכולים לשנותן עוד</w:t>
      </w:r>
      <w:r>
        <w:rPr>
          <w:rFonts w:hint="cs"/>
          <w:rtl/>
        </w:rPr>
        <w:t>,</w:t>
      </w:r>
      <w:r w:rsidRPr="00E25C2F">
        <w:rPr>
          <w:rtl/>
        </w:rPr>
        <w:t xml:space="preserve"> מעתה ועד עולם?</w:t>
      </w:r>
      <w:r>
        <w:rPr>
          <w:rFonts w:hint="cs"/>
          <w:rtl/>
        </w:rPr>
        <w:t>;</w:t>
      </w:r>
      <w:r w:rsidRPr="00E25C2F">
        <w:rPr>
          <w:rtl/>
        </w:rPr>
        <w:t xml:space="preserve"> </w:t>
      </w:r>
      <w:r>
        <w:rPr>
          <w:rFonts w:hint="cs"/>
          <w:rtl/>
        </w:rPr>
        <w:t xml:space="preserve">וכן (5) </w:t>
      </w:r>
      <w:r>
        <w:rPr>
          <w:rtl/>
        </w:rPr>
        <w:t>האם גישת</w:t>
      </w:r>
      <w:r>
        <w:rPr>
          <w:rFonts w:hint="cs"/>
          <w:rtl/>
        </w:rPr>
        <w:t xml:space="preserve">י </w:t>
      </w:r>
      <w:r w:rsidRPr="00E25C2F">
        <w:rPr>
          <w:rtl/>
        </w:rPr>
        <w:t>יכולה להלום את ההיסטוריה החוקתית שלנו, לרבות פסיקתו של בית משפט זה ושל מחוקקי-ישראל ב-75 שנות קיומה של המדינה?</w:t>
      </w:r>
      <w:r>
        <w:rPr>
          <w:rFonts w:hint="cs"/>
          <w:rtl/>
        </w:rPr>
        <w:t xml:space="preserve"> </w:t>
      </w:r>
    </w:p>
    <w:p w:rsidR="00553FDC" w:rsidRDefault="00553FDC" w:rsidP="00553FDC">
      <w:pPr>
        <w:pStyle w:val="Ruller4"/>
        <w:numPr>
          <w:ilvl w:val="0"/>
          <w:numId w:val="0"/>
        </w:numPr>
        <w:rPr>
          <w:rtl/>
        </w:rPr>
      </w:pPr>
    </w:p>
    <w:p w:rsidR="00553FDC" w:rsidRDefault="00553FDC" w:rsidP="00553FDC">
      <w:pPr>
        <w:pStyle w:val="Ruller4"/>
        <w:numPr>
          <w:ilvl w:val="0"/>
          <w:numId w:val="0"/>
        </w:numPr>
      </w:pPr>
      <w:r>
        <w:rPr>
          <w:rtl/>
        </w:rPr>
        <w:tab/>
      </w:r>
      <w:r>
        <w:rPr>
          <w:rFonts w:hint="cs"/>
          <w:rtl/>
        </w:rPr>
        <w:t xml:space="preserve">לשאלות אלה אענה כעת בקצרה (ועוד ארחיב בעניינן במקרה מתאים אשר יובא לפתחנו). </w:t>
      </w:r>
    </w:p>
    <w:p w:rsidR="00553FDC" w:rsidRDefault="00553FDC" w:rsidP="00553FDC">
      <w:pPr>
        <w:pStyle w:val="Ruller4"/>
        <w:numPr>
          <w:ilvl w:val="0"/>
          <w:numId w:val="0"/>
        </w:numPr>
      </w:pPr>
    </w:p>
    <w:p w:rsidR="00553FDC" w:rsidRDefault="00553FDC" w:rsidP="00553FDC">
      <w:pPr>
        <w:pStyle w:val="Ruller4"/>
      </w:pPr>
      <w:r>
        <w:rPr>
          <w:rFonts w:hint="cs"/>
          <w:rtl/>
        </w:rPr>
        <w:t xml:space="preserve">כפי שצויין על ידי, הכרזת העצמאות מקפלת בתוכה את "כלל ההכרה" הבסיסי, שהוא המסד עליו עומד משפט המדינה בכוליותו. כלל זה אינו בגדר חוקה סדורה, אבל </w:t>
      </w:r>
      <w:r>
        <w:rPr>
          <w:rFonts w:hint="cs"/>
          <w:rtl/>
        </w:rPr>
        <w:lastRenderedPageBreak/>
        <w:t xml:space="preserve">יש לו מעמד חוקתי על-חוקי ככלל שמסמיך את הכנסת לחוקק חוקים ולכונן חוקי יסוד. כל שיטת משפט, צריך שיהיה בבסיסה מסד בדמותו של "כלל ההכרה", לצדה של חוקה, לכשתכונן. פשיטא הוא, כי שום שיטת משפט אינה יכולה לשבת על תהום נורמטיבי. אשר על כן, אין כל סתירה בין קביעתה של הכרזת העצמאות בעניין החוקה לבין היותה "כלל ההכרה".  </w:t>
      </w:r>
    </w:p>
    <w:p w:rsidR="00553FDC" w:rsidRDefault="00553FDC" w:rsidP="00553FDC">
      <w:pPr>
        <w:pStyle w:val="Ruller4"/>
        <w:numPr>
          <w:ilvl w:val="0"/>
          <w:numId w:val="0"/>
        </w:numPr>
      </w:pPr>
    </w:p>
    <w:p w:rsidR="00553FDC" w:rsidRDefault="00553FDC" w:rsidP="00553FDC">
      <w:pPr>
        <w:pStyle w:val="Ruller4"/>
      </w:pPr>
      <w:r>
        <w:rPr>
          <w:rFonts w:hint="cs"/>
          <w:rtl/>
        </w:rPr>
        <w:t xml:space="preserve">האופן שבו נתפשה ההכרזה על ידי מייסדי המדינה ואמירותיהם נסוגים מפני לשונו הברורה של המנשר ולשונה הברורה של פקודת סדרי השלטון והמשפט המקורית </w:t>
      </w:r>
      <w:r>
        <w:rPr>
          <w:rtl/>
        </w:rPr>
        <w:t>–</w:t>
      </w:r>
      <w:r>
        <w:rPr>
          <w:rFonts w:hint="cs"/>
          <w:rtl/>
        </w:rPr>
        <w:t xml:space="preserve"> מסמכי ההקמה הרשמיים שכאמור קבעו, "ברחל בתך הקטנה", כי סמכות החקיקה, המסורה למועצת המדינה הזמנית, ואחריה לכנסת, באה מהכרזת העצמאות, ולא ממקור אחר. מסמכי הקמה אלה הם בגדר "דבר המשפט" (</w:t>
      </w:r>
      <w:r w:rsidRPr="00F55632">
        <w:rPr>
          <w:rFonts w:asciiTheme="majorBidi" w:hAnsiTheme="majorBidi" w:cstheme="majorBidi"/>
        </w:rPr>
        <w:t>law talk</w:t>
      </w:r>
      <w:r>
        <w:rPr>
          <w:rFonts w:hint="cs"/>
          <w:rtl/>
        </w:rPr>
        <w:t xml:space="preserve">) </w:t>
      </w:r>
      <w:r>
        <w:rPr>
          <w:rtl/>
        </w:rPr>
        <w:t>–</w:t>
      </w:r>
      <w:r>
        <w:rPr>
          <w:rFonts w:hint="cs"/>
          <w:rtl/>
        </w:rPr>
        <w:t xml:space="preserve"> שלו, ורק לו, יש תוקף משפטי מחייב </w:t>
      </w:r>
      <w:r>
        <w:rPr>
          <w:rtl/>
        </w:rPr>
        <w:t>–</w:t>
      </w:r>
      <w:r>
        <w:rPr>
          <w:rFonts w:hint="cs"/>
          <w:rtl/>
        </w:rPr>
        <w:t xml:space="preserve"> להבדיל מ"דיבורים על המשפט" (</w:t>
      </w:r>
      <w:r w:rsidRPr="00F55632">
        <w:rPr>
          <w:rFonts w:asciiTheme="majorBidi" w:hAnsiTheme="majorBidi" w:cstheme="majorBidi"/>
        </w:rPr>
        <w:t>talk about law</w:t>
      </w:r>
      <w:r>
        <w:rPr>
          <w:rFonts w:hint="cs"/>
          <w:rtl/>
        </w:rPr>
        <w:t xml:space="preserve">) נטולי תוקף משפטי, אשר לכל היותר יכולים להשליך על פרשנותה של נורמה משפטית בלתי ברורה. </w:t>
      </w:r>
    </w:p>
    <w:p w:rsidR="00553FDC" w:rsidRDefault="00553FDC" w:rsidP="00553FDC">
      <w:pPr>
        <w:pStyle w:val="Ruller4"/>
        <w:numPr>
          <w:ilvl w:val="0"/>
          <w:numId w:val="0"/>
        </w:numPr>
      </w:pPr>
    </w:p>
    <w:p w:rsidR="00553FDC" w:rsidRDefault="00553FDC" w:rsidP="00553FDC">
      <w:pPr>
        <w:pStyle w:val="Ruller4"/>
      </w:pPr>
      <w:r>
        <w:rPr>
          <w:rFonts w:hint="cs"/>
          <w:rtl/>
        </w:rPr>
        <w:t xml:space="preserve">מועצת המדינה הזמנית אכן לא היתה גוף נבחר, כדרכם של מייסדי מדינה. כמייסדת המדינה, עשתה המועצה שימוש בכוח המייסדים וקבעה למשפט המדינה את "כלל ההכרה" הבסיסי בהתאם למה שראתה כרצון העם וערכיו. קביעה זו אכן לא נגזרה מדמוקרטיה ייצוגית (ראו והשוו: </w:t>
      </w:r>
      <w:r w:rsidRPr="00131127">
        <w:rPr>
          <w:rFonts w:ascii="Century" w:hAnsi="Century" w:cs="Miriam" w:hint="cs"/>
          <w:b/>
          <w:spacing w:val="0"/>
          <w:sz w:val="22"/>
          <w:szCs w:val="24"/>
          <w:rtl/>
        </w:rPr>
        <w:t>שמרינסקי</w:t>
      </w:r>
      <w:r>
        <w:rPr>
          <w:rFonts w:hint="cs"/>
          <w:rtl/>
        </w:rPr>
        <w:t xml:space="preserve">, בעמ' 23). היא נקבעה כאקט משפטי בראשיתי שנכפה על ידי המציאות של מאי 1948.  </w:t>
      </w:r>
    </w:p>
    <w:p w:rsidR="00553FDC" w:rsidRDefault="00553FDC" w:rsidP="00553FDC">
      <w:pPr>
        <w:pStyle w:val="Ruller4"/>
        <w:numPr>
          <w:ilvl w:val="0"/>
          <w:numId w:val="0"/>
        </w:numPr>
      </w:pPr>
    </w:p>
    <w:p w:rsidR="00553FDC" w:rsidRDefault="00553FDC" w:rsidP="00553FDC">
      <w:pPr>
        <w:pStyle w:val="Ruller4"/>
      </w:pPr>
      <w:r>
        <w:rPr>
          <w:rFonts w:hint="cs"/>
          <w:rtl/>
        </w:rPr>
        <w:t xml:space="preserve">באשר לאפשרות לתקן או לשנות את האמור בהכרזת העצמאות </w:t>
      </w:r>
      <w:r>
        <w:rPr>
          <w:rtl/>
        </w:rPr>
        <w:t>–</w:t>
      </w:r>
      <w:r>
        <w:rPr>
          <w:rFonts w:hint="cs"/>
          <w:rtl/>
        </w:rPr>
        <w:t xml:space="preserve"> עניין סבוך זה ראוי שנשאיר לעת מצוא. אומר בקצרה כי הסדרים חוקתיים על-חוקיים אמורים להיות עמידים מפני שינוי או ביטול מטעמים הקשורים ליציבות המשטר המשפטי ולהגנה על זכויות יסוד (ראו: </w:t>
      </w:r>
      <w:r w:rsidRPr="00D07EBA">
        <w:rPr>
          <w:rFonts w:ascii="Century" w:hAnsi="Century" w:cs="Miriam" w:hint="cs"/>
          <w:b/>
          <w:spacing w:val="0"/>
          <w:sz w:val="22"/>
          <w:szCs w:val="24"/>
          <w:rtl/>
        </w:rPr>
        <w:t>שמרינסקי</w:t>
      </w:r>
      <w:r>
        <w:rPr>
          <w:rFonts w:hint="cs"/>
          <w:rtl/>
        </w:rPr>
        <w:t xml:space="preserve">, בעמ' 8-6). </w:t>
      </w:r>
    </w:p>
    <w:p w:rsidR="00553FDC" w:rsidRDefault="00553FDC" w:rsidP="00553FDC">
      <w:pPr>
        <w:pStyle w:val="Ruller4"/>
        <w:numPr>
          <w:ilvl w:val="0"/>
          <w:numId w:val="0"/>
        </w:numPr>
      </w:pPr>
    </w:p>
    <w:p w:rsidR="00553FDC" w:rsidRDefault="00553FDC" w:rsidP="00553FDC">
      <w:pPr>
        <w:pStyle w:val="Ruller4"/>
      </w:pPr>
      <w:r>
        <w:rPr>
          <w:rFonts w:hint="cs"/>
          <w:rtl/>
        </w:rPr>
        <w:t xml:space="preserve">מכאן לתהייה שמעלה חברי, השופט </w:t>
      </w:r>
      <w:r w:rsidRPr="00941C29">
        <w:rPr>
          <w:rFonts w:ascii="Century" w:hAnsi="Century" w:cs="Miriam" w:hint="cs"/>
          <w:b/>
          <w:spacing w:val="0"/>
          <w:sz w:val="22"/>
          <w:szCs w:val="24"/>
          <w:rtl/>
        </w:rPr>
        <w:t>סולברג</w:t>
      </w:r>
      <w:r>
        <w:rPr>
          <w:rFonts w:hint="cs"/>
          <w:rtl/>
        </w:rPr>
        <w:t xml:space="preserve">, ביחס לכך שהתזה החוקתית הפורמלית שרואה בהכרזת העצמאות "כלל ההכרה" הבסיסי נפקדה מהשיח החוקתי שלנו. ראשית, אציין כי דברים אלו אינם מדויקים: </w:t>
      </w:r>
      <w:r w:rsidRPr="00941C29">
        <w:rPr>
          <w:rFonts w:ascii="Century" w:hAnsi="Century" w:hint="cs"/>
          <w:sz w:val="22"/>
          <w:rtl/>
        </w:rPr>
        <w:t xml:space="preserve">הנשיא </w:t>
      </w:r>
      <w:r w:rsidRPr="00941C29">
        <w:rPr>
          <w:rFonts w:ascii="Century" w:hAnsi="Century" w:cs="Miriam" w:hint="cs"/>
          <w:b/>
          <w:spacing w:val="0"/>
          <w:sz w:val="22"/>
          <w:szCs w:val="24"/>
          <w:rtl/>
        </w:rPr>
        <w:t>ברק</w:t>
      </w:r>
      <w:r>
        <w:rPr>
          <w:rFonts w:hint="cs"/>
          <w:rtl/>
        </w:rPr>
        <w:t xml:space="preserve"> בפירוש ראה </w:t>
      </w:r>
      <w:r>
        <w:rPr>
          <w:rtl/>
        </w:rPr>
        <w:t>–</w:t>
      </w:r>
      <w:r>
        <w:rPr>
          <w:rFonts w:hint="cs"/>
          <w:rtl/>
        </w:rPr>
        <w:t xml:space="preserve"> ועודנו רואה </w:t>
      </w:r>
      <w:r>
        <w:rPr>
          <w:rtl/>
        </w:rPr>
        <w:t>–</w:t>
      </w:r>
      <w:r>
        <w:rPr>
          <w:rFonts w:hint="cs"/>
          <w:rtl/>
        </w:rPr>
        <w:t xml:space="preserve"> את הכרזת העצמאות כמסמך שמעגן בתוכו את "כלל ההכרה" הבסיסי. דברים אלה של הנשיא </w:t>
      </w:r>
      <w:r w:rsidRPr="00941C29">
        <w:rPr>
          <w:rFonts w:ascii="Century" w:hAnsi="Century" w:cs="Miriam" w:hint="cs"/>
          <w:b/>
          <w:spacing w:val="0"/>
          <w:sz w:val="22"/>
          <w:szCs w:val="24"/>
          <w:rtl/>
        </w:rPr>
        <w:t>ברק</w:t>
      </w:r>
      <w:r>
        <w:rPr>
          <w:rFonts w:hint="cs"/>
          <w:rtl/>
        </w:rPr>
        <w:t xml:space="preserve"> צוטטו על ידי לעיל, ואיני רואה סיבה לחזור על מה שכבר נאמר (ראו גם: אהרן ברק "</w:t>
      </w:r>
      <w:r>
        <w:rPr>
          <w:rtl/>
        </w:rPr>
        <w:t>הסמכות המכוננת הראשונית וההגבלות המוטלות עליה</w:t>
      </w:r>
      <w:r>
        <w:rPr>
          <w:rFonts w:hint="cs"/>
          <w:rtl/>
        </w:rPr>
        <w:t xml:space="preserve">" </w:t>
      </w:r>
      <w:r w:rsidRPr="00566D7D">
        <w:rPr>
          <w:rFonts w:ascii="Century" w:hAnsi="Century" w:cs="Miriam"/>
          <w:b/>
          <w:spacing w:val="0"/>
          <w:sz w:val="22"/>
          <w:szCs w:val="24"/>
          <w:rtl/>
        </w:rPr>
        <w:t>משפט ועסקים</w:t>
      </w:r>
      <w:r>
        <w:rPr>
          <w:rtl/>
        </w:rPr>
        <w:t xml:space="preserve"> כח</w:t>
      </w:r>
      <w:r>
        <w:rPr>
          <w:rFonts w:hint="cs"/>
          <w:rtl/>
        </w:rPr>
        <w:t xml:space="preserve"> 123, 146-138 (2023)). ההבדל בין גישתי לבין גישת הנשיא </w:t>
      </w:r>
      <w:r w:rsidRPr="00717F0F">
        <w:rPr>
          <w:rFonts w:ascii="Century" w:hAnsi="Century" w:cs="Miriam" w:hint="cs"/>
          <w:b/>
          <w:spacing w:val="0"/>
          <w:sz w:val="22"/>
          <w:szCs w:val="24"/>
          <w:rtl/>
        </w:rPr>
        <w:t>ברק</w:t>
      </w:r>
      <w:r>
        <w:rPr>
          <w:rFonts w:hint="cs"/>
          <w:rtl/>
        </w:rPr>
        <w:t xml:space="preserve"> הוא זה: הנשיא </w:t>
      </w:r>
      <w:r w:rsidRPr="00717F0F">
        <w:rPr>
          <w:rFonts w:ascii="Century" w:hAnsi="Century" w:cs="Miriam" w:hint="cs"/>
          <w:b/>
          <w:spacing w:val="0"/>
          <w:sz w:val="22"/>
          <w:szCs w:val="24"/>
          <w:rtl/>
        </w:rPr>
        <w:t>ברק</w:t>
      </w:r>
      <w:r>
        <w:rPr>
          <w:rFonts w:hint="cs"/>
          <w:rtl/>
        </w:rPr>
        <w:t xml:space="preserve"> רואה בהכרזת העצמאות "כלל ההכרה" הבסיסי מכוח מוסכמה חברתית </w:t>
      </w:r>
      <w:r>
        <w:rPr>
          <w:rFonts w:hint="cs"/>
          <w:rtl/>
        </w:rPr>
        <w:lastRenderedPageBreak/>
        <w:t xml:space="preserve">היסטורית, בשעה שאני רואה בהכרזת העצמאות "כלל ההכרה" הבסיסי מכוח מוסכמה חברתית היסטורית </w:t>
      </w:r>
      <w:r w:rsidRPr="00717F0F">
        <w:rPr>
          <w:rFonts w:ascii="Century" w:hAnsi="Century" w:cs="Miriam" w:hint="cs"/>
          <w:b/>
          <w:spacing w:val="0"/>
          <w:sz w:val="22"/>
          <w:szCs w:val="24"/>
          <w:rtl/>
        </w:rPr>
        <w:t>אשר תועדה במסמכי ההקמה הרשמיים של המדינה: המנשר ופקודת סדרי השלטון והמשפט המקורית</w:t>
      </w:r>
      <w:r>
        <w:rPr>
          <w:rFonts w:hint="cs"/>
          <w:rtl/>
        </w:rPr>
        <w:t xml:space="preserve">. </w:t>
      </w:r>
    </w:p>
    <w:p w:rsidR="00553FDC" w:rsidRDefault="00553FDC" w:rsidP="00553FDC">
      <w:pPr>
        <w:pStyle w:val="Ruller4"/>
        <w:numPr>
          <w:ilvl w:val="0"/>
          <w:numId w:val="0"/>
        </w:numPr>
      </w:pPr>
    </w:p>
    <w:p w:rsidR="00553FDC" w:rsidRDefault="00553FDC" w:rsidP="00553FDC">
      <w:pPr>
        <w:pStyle w:val="Ruller4"/>
      </w:pPr>
      <w:r>
        <w:rPr>
          <w:rFonts w:hint="cs"/>
          <w:rtl/>
        </w:rPr>
        <w:t xml:space="preserve">בהיבט רחב יותר, דומני כי התרבות המשפטית שקנתה לעצמה אחיזה במחוזותינו היא זאת שאחראית לכך שהתזה החוקתית הפורמלית הנישאת בפי </w:t>
      </w:r>
      <w:r>
        <w:rPr>
          <w:rtl/>
        </w:rPr>
        <w:t>–</w:t>
      </w:r>
      <w:r>
        <w:rPr>
          <w:rFonts w:hint="cs"/>
          <w:rtl/>
        </w:rPr>
        <w:t xml:space="preserve"> שכאמור רואה בהכרזת העצמאות "כלל ההכרה" הבסיסי </w:t>
      </w:r>
      <w:r>
        <w:rPr>
          <w:rtl/>
        </w:rPr>
        <w:t>–</w:t>
      </w:r>
      <w:r>
        <w:rPr>
          <w:rFonts w:hint="cs"/>
          <w:rtl/>
        </w:rPr>
        <w:t xml:space="preserve"> נפקדה מהשיח החוקתי שלנו כלא היתה. תרבות זו מבכרת רעיונות ערכיים מופשטים, נטולי עיגון פורמלי, על פני האות הכתובה של המשפט, מעמידה מטאפורות מעל העובדות כפשוטן, ופוסחת על שאלות תורת-משפטיות יסודיות על ידי מהלכים שבבסיסם הנחת המבוקש. בהקשר זה, די אם אציין את הנחות היסוד של תורת "התכלית האובייקטיבית"; את "ערכי היסוד של השיטה" ופרשנותם כטוב בעיניי המתבונן; ואת הקביעה השיפוטית </w:t>
      </w:r>
      <w:r>
        <w:rPr>
          <w:rtl/>
        </w:rPr>
        <w:t>–</w:t>
      </w:r>
      <w:r>
        <w:rPr>
          <w:rFonts w:hint="cs"/>
          <w:rtl/>
        </w:rPr>
        <w:t xml:space="preserve"> עליה מסתמכים חלק מחבריי </w:t>
      </w:r>
      <w:r>
        <w:rPr>
          <w:rtl/>
        </w:rPr>
        <w:t>–</w:t>
      </w:r>
      <w:r>
        <w:rPr>
          <w:rFonts w:hint="cs"/>
          <w:rtl/>
        </w:rPr>
        <w:t xml:space="preserve"> כי חוק יסוד: כבוד האדם וחירותו מקנה לאזרחי המדינה זכות חוקתית לשוויון שזכרה לא בא בנוסח החוק. </w:t>
      </w:r>
    </w:p>
    <w:p w:rsidR="00553FDC" w:rsidRDefault="00553FDC" w:rsidP="00553FDC">
      <w:pPr>
        <w:pStyle w:val="Ruller4"/>
        <w:numPr>
          <w:ilvl w:val="0"/>
          <w:numId w:val="0"/>
        </w:numPr>
      </w:pPr>
    </w:p>
    <w:p w:rsidR="00553FDC" w:rsidRPr="002E36A0" w:rsidRDefault="00553FDC" w:rsidP="00553FDC">
      <w:pPr>
        <w:pStyle w:val="Ruller4"/>
        <w:rPr>
          <w:rtl/>
        </w:rPr>
      </w:pPr>
      <w:r>
        <w:rPr>
          <w:rFonts w:hint="cs"/>
          <w:rtl/>
        </w:rPr>
        <w:t xml:space="preserve">לדידי, </w:t>
      </w:r>
      <w:r w:rsidRPr="00F76CFD">
        <w:rPr>
          <w:rFonts w:ascii="Century" w:hAnsi="Century" w:cs="Miriam" w:hint="cs"/>
          <w:b/>
          <w:spacing w:val="0"/>
          <w:sz w:val="22"/>
          <w:szCs w:val="24"/>
          <w:rtl/>
        </w:rPr>
        <w:t>המשפט כולו הוא מוסד חברתי פורמלי מטיבו ומטבעו</w:t>
      </w:r>
      <w:r>
        <w:rPr>
          <w:rFonts w:hint="cs"/>
          <w:rtl/>
        </w:rPr>
        <w:t xml:space="preserve">; והמשפט הלא פורמלי כלל אינו בגדר "משפט" (ראו: </w:t>
      </w:r>
      <w:r w:rsidRPr="00B17913">
        <w:rPr>
          <w:rFonts w:asciiTheme="majorBidi" w:hAnsiTheme="majorBidi" w:cstheme="majorBidi"/>
        </w:rPr>
        <w:t xml:space="preserve">Ernest J. Weinrib, </w:t>
      </w:r>
      <w:r w:rsidRPr="00B17913">
        <w:rPr>
          <w:rFonts w:asciiTheme="majorBidi" w:hAnsiTheme="majorBidi" w:cstheme="majorBidi"/>
          <w:i/>
          <w:iCs/>
        </w:rPr>
        <w:t>Legal Formalism: On the Immanent Rationality of Law</w:t>
      </w:r>
      <w:r w:rsidRPr="00B17913">
        <w:rPr>
          <w:rFonts w:asciiTheme="majorBidi" w:hAnsiTheme="majorBidi" w:cstheme="majorBidi"/>
        </w:rPr>
        <w:t xml:space="preserve">, 97 </w:t>
      </w:r>
      <w:r w:rsidRPr="00B17913">
        <w:rPr>
          <w:rFonts w:asciiTheme="majorBidi" w:hAnsiTheme="majorBidi" w:cstheme="majorBidi"/>
          <w:smallCaps/>
        </w:rPr>
        <w:t>Yale L.J.</w:t>
      </w:r>
      <w:r w:rsidRPr="00B17913">
        <w:rPr>
          <w:rFonts w:asciiTheme="majorBidi" w:hAnsiTheme="majorBidi" w:cstheme="majorBidi"/>
        </w:rPr>
        <w:t xml:space="preserve"> 949</w:t>
      </w:r>
      <w:r>
        <w:rPr>
          <w:rFonts w:asciiTheme="majorBidi" w:hAnsiTheme="majorBidi" w:cstheme="majorBidi"/>
        </w:rPr>
        <w:t>, 953-957, 961-971</w:t>
      </w:r>
      <w:r w:rsidRPr="00B17913">
        <w:rPr>
          <w:rFonts w:asciiTheme="majorBidi" w:hAnsiTheme="majorBidi" w:cstheme="majorBidi"/>
        </w:rPr>
        <w:t xml:space="preserve"> (1998); Frederick Schauer, </w:t>
      </w:r>
      <w:r w:rsidRPr="00B17913">
        <w:rPr>
          <w:rFonts w:asciiTheme="majorBidi" w:hAnsiTheme="majorBidi" w:cstheme="majorBidi"/>
          <w:i/>
          <w:iCs/>
        </w:rPr>
        <w:t>Formalism</w:t>
      </w:r>
      <w:r w:rsidRPr="00B17913">
        <w:rPr>
          <w:rFonts w:asciiTheme="majorBidi" w:hAnsiTheme="majorBidi" w:cstheme="majorBidi"/>
        </w:rPr>
        <w:t xml:space="preserve">, 97 </w:t>
      </w:r>
      <w:r w:rsidRPr="00B17913">
        <w:rPr>
          <w:rFonts w:asciiTheme="majorBidi" w:hAnsiTheme="majorBidi" w:cstheme="majorBidi"/>
          <w:smallCaps/>
        </w:rPr>
        <w:t>Yale L.J.</w:t>
      </w:r>
      <w:r w:rsidRPr="00B17913">
        <w:rPr>
          <w:rFonts w:asciiTheme="majorBidi" w:hAnsiTheme="majorBidi" w:cstheme="majorBidi"/>
        </w:rPr>
        <w:t xml:space="preserve"> 509, 520-535 (1998)</w:t>
      </w:r>
      <w:r>
        <w:rPr>
          <w:rFonts w:hint="cs"/>
          <w:rtl/>
        </w:rPr>
        <w:t xml:space="preserve">). המשפט הפורמלי שכולל את האמור במנשר ובפקודת סדרי השלטון והמשפט המקורית </w:t>
      </w:r>
      <w:r>
        <w:rPr>
          <w:rtl/>
        </w:rPr>
        <w:t>–</w:t>
      </w:r>
      <w:r>
        <w:rPr>
          <w:rFonts w:hint="cs"/>
          <w:rtl/>
        </w:rPr>
        <w:t xml:space="preserve"> וכפועל יוצא משני אלה, בהכרזת העצמאות </w:t>
      </w:r>
      <w:r>
        <w:rPr>
          <w:rtl/>
        </w:rPr>
        <w:t>–</w:t>
      </w:r>
      <w:r>
        <w:rPr>
          <w:rFonts w:hint="cs"/>
          <w:rtl/>
        </w:rPr>
        <w:t xml:space="preserve"> הוא זה שלשיטתי מכריע את הכף במקרה שלפנינו. הוא, ולא "התכלית האובייקטיבית", "עקרונות היסוד של השיטה" או כל מטאפורה כזאת או אחרת.</w:t>
      </w:r>
    </w:p>
    <w:p w:rsidR="00553FDC" w:rsidRPr="00553FDC" w:rsidRDefault="00553FDC" w:rsidP="00A51FAE">
      <w:pPr>
        <w:pStyle w:val="Ruller41"/>
        <w:rPr>
          <w:rFonts w:ascii="Century" w:hAnsi="Century"/>
          <w:rtl/>
        </w:rPr>
      </w:pPr>
    </w:p>
    <w:p w:rsidR="00267280" w:rsidRDefault="00267280" w:rsidP="00A51FAE">
      <w:pPr>
        <w:pStyle w:val="Ruller41"/>
        <w:rPr>
          <w:rtl/>
        </w:rPr>
      </w:pPr>
    </w:p>
    <w:tbl>
      <w:tblPr>
        <w:bidiVisual/>
        <w:tblW w:w="8363" w:type="dxa"/>
        <w:tblLook w:val="01E0" w:firstRow="1" w:lastRow="1" w:firstColumn="1" w:lastColumn="1" w:noHBand="0" w:noVBand="0"/>
      </w:tblPr>
      <w:tblGrid>
        <w:gridCol w:w="2783"/>
        <w:gridCol w:w="2797"/>
        <w:gridCol w:w="2783"/>
      </w:tblGrid>
      <w:tr w:rsidR="00D57E3F" w:rsidRPr="00267280" w:rsidTr="002A0D41">
        <w:tc>
          <w:tcPr>
            <w:tcW w:w="2783" w:type="dxa"/>
            <w:shd w:val="clear" w:color="auto" w:fill="auto"/>
          </w:tcPr>
          <w:p w:rsidR="00D57E3F" w:rsidRPr="00267280" w:rsidRDefault="00D57E3F" w:rsidP="002A0D41">
            <w:pPr>
              <w:pStyle w:val="Ruller41"/>
              <w:jc w:val="center"/>
              <w:rPr>
                <w:rtl/>
              </w:rPr>
            </w:pPr>
          </w:p>
        </w:tc>
        <w:tc>
          <w:tcPr>
            <w:tcW w:w="2797" w:type="dxa"/>
            <w:shd w:val="clear" w:color="auto" w:fill="auto"/>
          </w:tcPr>
          <w:p w:rsidR="00D57E3F" w:rsidRPr="00267280" w:rsidRDefault="00D57E3F" w:rsidP="002A0D41">
            <w:pPr>
              <w:pStyle w:val="Ruller41"/>
              <w:jc w:val="center"/>
              <w:rPr>
                <w:rtl/>
              </w:rPr>
            </w:pPr>
          </w:p>
        </w:tc>
        <w:tc>
          <w:tcPr>
            <w:tcW w:w="2783" w:type="dxa"/>
            <w:shd w:val="clear" w:color="auto" w:fill="auto"/>
          </w:tcPr>
          <w:p w:rsidR="00D57E3F" w:rsidRPr="00267280" w:rsidRDefault="00D57E3F" w:rsidP="002A0D41">
            <w:pPr>
              <w:pStyle w:val="Ruller41"/>
              <w:jc w:val="right"/>
              <w:rPr>
                <w:rtl/>
              </w:rPr>
            </w:pPr>
            <w:r>
              <w:rPr>
                <w:rFonts w:hint="cs"/>
                <w:rtl/>
              </w:rPr>
              <w:t>ש</w:t>
            </w:r>
            <w:r w:rsidR="0007439D">
              <w:rPr>
                <w:rFonts w:hint="cs"/>
                <w:rtl/>
              </w:rPr>
              <w:t xml:space="preserve"> </w:t>
            </w:r>
            <w:r>
              <w:rPr>
                <w:rFonts w:hint="cs"/>
                <w:rtl/>
              </w:rPr>
              <w:t>ו</w:t>
            </w:r>
            <w:r w:rsidR="0007439D">
              <w:rPr>
                <w:rFonts w:hint="cs"/>
                <w:rtl/>
              </w:rPr>
              <w:t xml:space="preserve"> </w:t>
            </w:r>
            <w:r>
              <w:rPr>
                <w:rFonts w:hint="cs"/>
                <w:rtl/>
              </w:rPr>
              <w:t>פ</w:t>
            </w:r>
            <w:r w:rsidR="0007439D">
              <w:rPr>
                <w:rFonts w:hint="cs"/>
                <w:rtl/>
              </w:rPr>
              <w:t xml:space="preserve"> </w:t>
            </w:r>
            <w:r>
              <w:rPr>
                <w:rFonts w:hint="cs"/>
                <w:rtl/>
              </w:rPr>
              <w:t>ט</w:t>
            </w:r>
          </w:p>
        </w:tc>
      </w:tr>
    </w:tbl>
    <w:p w:rsidR="00D57E3F" w:rsidRDefault="00D57E3F" w:rsidP="00A51FAE">
      <w:pPr>
        <w:pStyle w:val="Ruller41"/>
        <w:rPr>
          <w:rtl/>
        </w:rPr>
      </w:pPr>
    </w:p>
    <w:p w:rsidR="0007439D" w:rsidRPr="00D57E3F" w:rsidRDefault="0007439D" w:rsidP="0007439D">
      <w:pPr>
        <w:pStyle w:val="Ruller41"/>
        <w:rPr>
          <w:rFonts w:ascii="Century" w:hAnsi="Century" w:cs="Miriam"/>
          <w:b/>
          <w:spacing w:val="0"/>
          <w:szCs w:val="24"/>
          <w:rtl/>
        </w:rPr>
      </w:pPr>
      <w:r w:rsidRPr="00D57E3F">
        <w:rPr>
          <w:rFonts w:ascii="Century" w:hAnsi="Century" w:cs="Miriam" w:hint="cs"/>
          <w:b/>
          <w:spacing w:val="0"/>
          <w:szCs w:val="24"/>
          <w:u w:val="single"/>
          <w:rtl/>
        </w:rPr>
        <w:t xml:space="preserve">השופט </w:t>
      </w:r>
      <w:r>
        <w:rPr>
          <w:rFonts w:ascii="Century" w:hAnsi="Century" w:cs="Miriam" w:hint="cs"/>
          <w:b/>
          <w:spacing w:val="0"/>
          <w:szCs w:val="24"/>
          <w:u w:val="single"/>
          <w:rtl/>
        </w:rPr>
        <w:t>י</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עמית</w:t>
      </w:r>
      <w:r>
        <w:rPr>
          <w:rFonts w:ascii="Century" w:hAnsi="Century" w:cs="Miriam" w:hint="cs"/>
          <w:b/>
          <w:spacing w:val="0"/>
          <w:szCs w:val="24"/>
          <w:rtl/>
        </w:rPr>
        <w:t>:</w:t>
      </w:r>
    </w:p>
    <w:p w:rsidR="0007439D" w:rsidRDefault="0007439D" w:rsidP="0007439D">
      <w:pPr>
        <w:pStyle w:val="Ruller41"/>
        <w:rPr>
          <w:rtl/>
        </w:rPr>
      </w:pPr>
    </w:p>
    <w:p w:rsidR="00BA577A" w:rsidRDefault="00BA577A" w:rsidP="00036694">
      <w:pPr>
        <w:pStyle w:val="Ruller41"/>
        <w:rPr>
          <w:rFonts w:ascii="Century" w:hAnsi="Century"/>
          <w:rtl/>
        </w:rPr>
      </w:pPr>
      <w:r>
        <w:rPr>
          <w:rFonts w:ascii="Century" w:hAnsi="Century"/>
          <w:rtl/>
        </w:rPr>
        <w:tab/>
      </w:r>
      <w:r>
        <w:rPr>
          <w:rFonts w:ascii="Century" w:hAnsi="Century" w:hint="cs"/>
          <w:rtl/>
        </w:rPr>
        <w:t xml:space="preserve">אני מסכים לפסק דינו של חברי, </w:t>
      </w:r>
      <w:r w:rsidR="00036694">
        <w:rPr>
          <w:rFonts w:ascii="Century" w:hAnsi="Century" w:hint="cs"/>
          <w:rtl/>
        </w:rPr>
        <w:t xml:space="preserve">ממלא מקום הנשיא </w:t>
      </w:r>
      <w:r w:rsidRPr="002B6D65">
        <w:rPr>
          <w:rFonts w:ascii="Century" w:hAnsi="Century" w:cs="Miriam" w:hint="cs"/>
          <w:b/>
          <w:spacing w:val="0"/>
          <w:szCs w:val="24"/>
          <w:rtl/>
        </w:rPr>
        <w:t>ע' פוגלמן</w:t>
      </w:r>
      <w:r>
        <w:rPr>
          <w:rFonts w:ascii="Century" w:hAnsi="Century" w:hint="cs"/>
          <w:rtl/>
        </w:rPr>
        <w:t xml:space="preserve">. איני נדרש לפסק דינו של חברי, השופט </w:t>
      </w:r>
      <w:r w:rsidRPr="00D83DF3">
        <w:rPr>
          <w:rFonts w:ascii="Century" w:hAnsi="Century" w:cs="Miriam" w:hint="cs"/>
          <w:b/>
          <w:spacing w:val="0"/>
          <w:szCs w:val="24"/>
          <w:rtl/>
        </w:rPr>
        <w:t>א' שטיין</w:t>
      </w:r>
      <w:r>
        <w:rPr>
          <w:rFonts w:ascii="Century" w:hAnsi="Century" w:hint="cs"/>
          <w:rtl/>
        </w:rPr>
        <w:t xml:space="preserve">, ולו מן הטעם שהצדדים לא טענו בנושא הכרזת העצמאות ומעמדה במסגרת הדיון דנן. </w:t>
      </w:r>
    </w:p>
    <w:p w:rsidR="00BA577A" w:rsidRPr="002B6D65" w:rsidRDefault="00BA577A" w:rsidP="00BA577A">
      <w:pPr>
        <w:pStyle w:val="Ruller41"/>
        <w:rPr>
          <w:rFonts w:ascii="Century" w:hAnsi="Century"/>
          <w:rtl/>
        </w:rPr>
      </w:pPr>
    </w:p>
    <w:p w:rsidR="00BA577A" w:rsidRPr="002B6D65" w:rsidRDefault="00BA577A" w:rsidP="00036694">
      <w:pPr>
        <w:pStyle w:val="Ruller41"/>
        <w:rPr>
          <w:rFonts w:ascii="Century" w:hAnsi="Century"/>
          <w:rtl/>
        </w:rPr>
      </w:pPr>
      <w:r>
        <w:rPr>
          <w:rFonts w:ascii="Century" w:hAnsi="Century" w:hint="cs"/>
          <w:rtl/>
        </w:rPr>
        <w:lastRenderedPageBreak/>
        <w:t>1.</w:t>
      </w:r>
      <w:r>
        <w:rPr>
          <w:rFonts w:ascii="Century" w:hAnsi="Century" w:hint="cs"/>
          <w:rtl/>
        </w:rPr>
        <w:tab/>
      </w:r>
      <w:r w:rsidRPr="002B6D65">
        <w:rPr>
          <w:rFonts w:ascii="Century" w:hAnsi="Century" w:hint="cs"/>
          <w:rtl/>
        </w:rPr>
        <w:t>הורתו של החוק שלפנינו בהצעת חוק פרטית (חלק מיוזמי הצעת החוק משכו בשלב מאוחר יותר את חתימתם)</w:t>
      </w:r>
      <w:r>
        <w:rPr>
          <w:rFonts w:ascii="Century" w:hAnsi="Century" w:hint="cs"/>
          <w:rtl/>
        </w:rPr>
        <w:t>,</w:t>
      </w:r>
      <w:r w:rsidRPr="002B6D65">
        <w:rPr>
          <w:rFonts w:ascii="Century" w:hAnsi="Century" w:hint="cs"/>
          <w:rtl/>
        </w:rPr>
        <w:t xml:space="preserve"> </w:t>
      </w:r>
      <w:r>
        <w:rPr>
          <w:rFonts w:ascii="Century" w:hAnsi="Century" w:hint="cs"/>
          <w:rtl/>
        </w:rPr>
        <w:t xml:space="preserve">שקיבלה פטור מחובת הנחה, ואשר </w:t>
      </w:r>
      <w:r w:rsidRPr="002B6D65">
        <w:rPr>
          <w:rFonts w:ascii="Century" w:hAnsi="Century" w:hint="cs"/>
          <w:rtl/>
        </w:rPr>
        <w:t xml:space="preserve">לכאורה נועדה "להשיב את המצב לקדמותו" כפי שהיה לפני שנת 2008. אך כפי שהראה </w:t>
      </w:r>
      <w:r w:rsidR="00036694">
        <w:rPr>
          <w:rFonts w:ascii="Century" w:hAnsi="Century" w:hint="cs"/>
          <w:rtl/>
        </w:rPr>
        <w:t xml:space="preserve">ממלא מקום הנשיא </w:t>
      </w:r>
      <w:r w:rsidRPr="002B6D65">
        <w:rPr>
          <w:rFonts w:ascii="Century" w:hAnsi="Century" w:cs="Miriam" w:hint="cs"/>
          <w:b/>
          <w:spacing w:val="0"/>
          <w:szCs w:val="24"/>
          <w:rtl/>
        </w:rPr>
        <w:t>ע' פוגלמן</w:t>
      </w:r>
      <w:r w:rsidRPr="002B6D65">
        <w:rPr>
          <w:rFonts w:ascii="Century" w:hAnsi="Century" w:hint="cs"/>
          <w:rtl/>
        </w:rPr>
        <w:t>, גם לפני שנת 2008</w:t>
      </w:r>
      <w:r>
        <w:rPr>
          <w:rFonts w:ascii="Century" w:hAnsi="Century" w:hint="cs"/>
          <w:rtl/>
        </w:rPr>
        <w:t>,</w:t>
      </w:r>
      <w:r w:rsidRPr="002B6D65">
        <w:rPr>
          <w:rFonts w:ascii="Century" w:hAnsi="Century" w:hint="cs"/>
          <w:rtl/>
        </w:rPr>
        <w:t xml:space="preserve"> התמודדות של יושב ראש ועדה ממונה בבחירות הייתה עניין חריג. </w:t>
      </w:r>
    </w:p>
    <w:p w:rsidR="00BA577A" w:rsidRPr="002B6D65" w:rsidRDefault="00BA577A" w:rsidP="00BA577A">
      <w:pPr>
        <w:pStyle w:val="Ruller41"/>
        <w:rPr>
          <w:rFonts w:ascii="Century" w:hAnsi="Century"/>
          <w:rtl/>
        </w:rPr>
      </w:pPr>
    </w:p>
    <w:p w:rsidR="00BA577A" w:rsidRDefault="00BA577A" w:rsidP="00BA577A">
      <w:pPr>
        <w:pStyle w:val="Ruller41"/>
        <w:rPr>
          <w:rFonts w:ascii="Century" w:hAnsi="Century"/>
          <w:rtl/>
        </w:rPr>
      </w:pPr>
      <w:r>
        <w:rPr>
          <w:rFonts w:ascii="Century" w:hAnsi="Century" w:hint="cs"/>
          <w:rtl/>
        </w:rPr>
        <w:t>2.</w:t>
      </w:r>
      <w:r>
        <w:rPr>
          <w:rFonts w:ascii="Century" w:hAnsi="Century" w:hint="cs"/>
          <w:rtl/>
        </w:rPr>
        <w:tab/>
      </w:r>
      <w:r w:rsidRPr="002B6D65">
        <w:rPr>
          <w:rFonts w:ascii="Century" w:hAnsi="Century" w:hint="cs"/>
          <w:rtl/>
        </w:rPr>
        <w:t xml:space="preserve">התיקון שלפנינו הוא דוגמה קיצונית לחקיקה פרסונלית שיש בה משום </w:t>
      </w:r>
      <w:r>
        <w:rPr>
          <w:rFonts w:ascii="Century" w:hAnsi="Century" w:hint="cs"/>
          <w:rtl/>
        </w:rPr>
        <w:t>"</w:t>
      </w:r>
      <w:r w:rsidRPr="002B6D65">
        <w:rPr>
          <w:rFonts w:ascii="Century" w:hAnsi="Century" w:hint="cs"/>
          <w:rtl/>
        </w:rPr>
        <w:t>שינוי כללי המשחק תוך כדי המשחק</w:t>
      </w:r>
      <w:r>
        <w:rPr>
          <w:rFonts w:ascii="Century" w:hAnsi="Century" w:hint="cs"/>
          <w:rtl/>
        </w:rPr>
        <w:t xml:space="preserve">", תוך התעלמות מעמדת הייעוץ המשפטי. </w:t>
      </w:r>
      <w:r w:rsidRPr="002B6D65">
        <w:rPr>
          <w:rFonts w:ascii="Century" w:hAnsi="Century" w:hint="cs"/>
          <w:rtl/>
        </w:rPr>
        <w:t xml:space="preserve">קשה להלום כי </w:t>
      </w:r>
      <w:r>
        <w:rPr>
          <w:rFonts w:ascii="Century" w:hAnsi="Century" w:hint="cs"/>
          <w:rtl/>
        </w:rPr>
        <w:t>יושב ראש ועדה ממונה ש</w:t>
      </w:r>
      <w:r w:rsidRPr="002B6D65">
        <w:rPr>
          <w:rFonts w:ascii="Century" w:hAnsi="Century" w:hint="cs"/>
          <w:rtl/>
        </w:rPr>
        <w:t>נבחר לתפקידו בכובע של איש מקצוע, י</w:t>
      </w:r>
      <w:r>
        <w:rPr>
          <w:rFonts w:ascii="Century" w:hAnsi="Century" w:hint="cs"/>
          <w:rtl/>
        </w:rPr>
        <w:t xml:space="preserve">חבוש </w:t>
      </w:r>
      <w:r w:rsidRPr="002B6D65">
        <w:rPr>
          <w:rFonts w:ascii="Century" w:hAnsi="Century" w:hint="cs"/>
          <w:rtl/>
        </w:rPr>
        <w:t>לפתע כובע פוליטי כאחד המת</w:t>
      </w:r>
      <w:r>
        <w:rPr>
          <w:rFonts w:ascii="Century" w:hAnsi="Century" w:hint="cs"/>
          <w:rtl/>
        </w:rPr>
        <w:t xml:space="preserve">חרים </w:t>
      </w:r>
      <w:r w:rsidRPr="002B6D65">
        <w:rPr>
          <w:rFonts w:ascii="Century" w:hAnsi="Century" w:hint="cs"/>
          <w:rtl/>
        </w:rPr>
        <w:t>על ראשות העיר, זמן קצר לפני מועד הבחירות</w:t>
      </w:r>
      <w:r>
        <w:rPr>
          <w:rFonts w:ascii="Century" w:hAnsi="Century" w:hint="cs"/>
          <w:rtl/>
        </w:rPr>
        <w:t xml:space="preserve"> (על חשיבות ההבחנה בין איש מקצוע לדמות פוליטית, ניתן ללמוד מהוראת המחוקק שקבע תקופת צינון של שנתיים למנכ"ל הרשות המקומית). מכל מקום, השינוי המהותי של כללי המשחק בסמוך לבחירות, מקנה ליושב ראש הוועדה הממונה יתרון בלתי הוגן כלפי מתמודדים אחרים, הוא פוגע  בהסתמכות של מתמודדים אחרים, ועלול "לצבוע" בדיעבד את עשייתו למען תושבי העיר טבריה.  </w:t>
      </w:r>
    </w:p>
    <w:p w:rsidR="00BA577A" w:rsidRDefault="00BA577A" w:rsidP="00BA577A">
      <w:pPr>
        <w:pStyle w:val="Ruller41"/>
        <w:rPr>
          <w:rFonts w:ascii="Century" w:hAnsi="Century"/>
          <w:rtl/>
        </w:rPr>
      </w:pPr>
    </w:p>
    <w:p w:rsidR="00BA577A" w:rsidRDefault="00BA577A" w:rsidP="00283414">
      <w:pPr>
        <w:pStyle w:val="Ruller41"/>
        <w:rPr>
          <w:rFonts w:ascii="Century" w:hAnsi="Century"/>
          <w:rtl/>
        </w:rPr>
      </w:pPr>
      <w:r>
        <w:rPr>
          <w:rFonts w:ascii="Century" w:hAnsi="Century" w:hint="cs"/>
          <w:rtl/>
        </w:rPr>
        <w:t>3.</w:t>
      </w:r>
      <w:r>
        <w:rPr>
          <w:rFonts w:ascii="Century" w:hAnsi="Century" w:hint="cs"/>
          <w:rtl/>
        </w:rPr>
        <w:tab/>
        <w:t xml:space="preserve">ככלל, איני שולל </w:t>
      </w:r>
      <w:r>
        <w:rPr>
          <w:rFonts w:hint="cs"/>
          <w:rtl/>
        </w:rPr>
        <w:t xml:space="preserve">כי ייתכנו מקרים לגיטימיים של תיקון פרסונלי צופה פני מצב מסוים, </w:t>
      </w:r>
      <w:r>
        <w:rPr>
          <w:rFonts w:ascii="Century" w:hAnsi="Century" w:hint="cs"/>
          <w:rtl/>
        </w:rPr>
        <w:t>שנועד לפתור בעיה אקוטית-כללית</w:t>
      </w:r>
      <w:r>
        <w:rPr>
          <w:rFonts w:hint="cs"/>
          <w:rtl/>
        </w:rPr>
        <w:t xml:space="preserve">. לא כך במקרה שלפנינו, שתיקון החוק </w:t>
      </w:r>
      <w:r>
        <w:rPr>
          <w:rFonts w:ascii="Century" w:hAnsi="Century" w:hint="cs"/>
          <w:rtl/>
        </w:rPr>
        <w:t xml:space="preserve">לא נעשה מאחורי "מסך בערות" אלא מאחורי מסך שקוף לחלוטין עם משקפת לחידוד הראייה. המדובר בתיקון שנעשה בחופזה צופה פני הבחירות בטבריה, תיקון המיועד לאיש אחד בלבד, כפי שבא לידי ביטוי, בין היתר, מדברים שנאמרו על ידי חברי הכנסת במהלך הדיון בהצעת החוק (כמפורט בפסקאות 39-37 לפסק דינו של </w:t>
      </w:r>
      <w:r w:rsidR="00283414">
        <w:rPr>
          <w:rFonts w:ascii="Century" w:hAnsi="Century" w:hint="cs"/>
          <w:rtl/>
        </w:rPr>
        <w:t>ממלא מקום הנשיא</w:t>
      </w:r>
      <w:r>
        <w:rPr>
          <w:rFonts w:ascii="Century" w:hAnsi="Century" w:hint="cs"/>
          <w:rtl/>
        </w:rPr>
        <w:t xml:space="preserve">). </w:t>
      </w:r>
    </w:p>
    <w:p w:rsidR="00BA577A" w:rsidRDefault="00BA577A" w:rsidP="00BA577A">
      <w:pPr>
        <w:pStyle w:val="Ruller41"/>
        <w:rPr>
          <w:rFonts w:ascii="Century" w:hAnsi="Century"/>
          <w:rtl/>
        </w:rPr>
      </w:pPr>
    </w:p>
    <w:p w:rsidR="00BA577A" w:rsidRDefault="00BA577A" w:rsidP="00036694">
      <w:pPr>
        <w:pStyle w:val="Ruller41"/>
        <w:rPr>
          <w:rFonts w:ascii="Century" w:hAnsi="Century"/>
          <w:rtl/>
        </w:rPr>
      </w:pPr>
      <w:r>
        <w:rPr>
          <w:rFonts w:ascii="Century" w:hAnsi="Century" w:hint="cs"/>
          <w:rtl/>
        </w:rPr>
        <w:t>4.</w:t>
      </w:r>
      <w:r>
        <w:rPr>
          <w:rFonts w:ascii="Century" w:hAnsi="Century" w:hint="cs"/>
          <w:rtl/>
        </w:rPr>
        <w:tab/>
        <w:t>סוף דבר שאני מצטרף לתוצאה לפיה התיקון לחוק לא יחול על הבחירות לרשויות המקומיות ש</w:t>
      </w:r>
      <w:r w:rsidR="00036694">
        <w:rPr>
          <w:rFonts w:ascii="Century" w:hAnsi="Century" w:hint="cs"/>
          <w:rtl/>
        </w:rPr>
        <w:t xml:space="preserve">אמורות היו להתקיים </w:t>
      </w:r>
      <w:r>
        <w:rPr>
          <w:rFonts w:ascii="Century" w:hAnsi="Century" w:hint="cs"/>
          <w:rtl/>
        </w:rPr>
        <w:t xml:space="preserve">ביום 31.10.2023. כאמור, התיקון עצמו מעורר קשיים הנוגעים לעקרון השוויון בבחירות, אך לעת הזו אין צורך להידרש להם. </w:t>
      </w:r>
    </w:p>
    <w:p w:rsidR="00BA577A" w:rsidRPr="00503A3E" w:rsidRDefault="00BA577A" w:rsidP="00BA577A">
      <w:pPr>
        <w:pStyle w:val="BODYVERDICT"/>
        <w:rPr>
          <w:rFonts w:cs="Miriam"/>
          <w:sz w:val="24"/>
          <w:szCs w:val="24"/>
          <w:u w:val="single"/>
          <w:rtl/>
        </w:rPr>
      </w:pPr>
    </w:p>
    <w:p w:rsidR="0007439D" w:rsidRDefault="0007439D" w:rsidP="0007439D">
      <w:pPr>
        <w:pStyle w:val="Ruller41"/>
        <w:rPr>
          <w:rtl/>
        </w:rPr>
      </w:pPr>
    </w:p>
    <w:p w:rsidR="00C634B8" w:rsidRDefault="00C634B8" w:rsidP="0007439D">
      <w:pPr>
        <w:pStyle w:val="Ruller41"/>
        <w:rPr>
          <w:rtl/>
        </w:rPr>
      </w:pPr>
    </w:p>
    <w:tbl>
      <w:tblPr>
        <w:bidiVisual/>
        <w:tblW w:w="8363" w:type="dxa"/>
        <w:tblLook w:val="01E0" w:firstRow="1" w:lastRow="1" w:firstColumn="1" w:lastColumn="1" w:noHBand="0" w:noVBand="0"/>
      </w:tblPr>
      <w:tblGrid>
        <w:gridCol w:w="2783"/>
        <w:gridCol w:w="2797"/>
        <w:gridCol w:w="2783"/>
      </w:tblGrid>
      <w:tr w:rsidR="0007439D" w:rsidRPr="00267280" w:rsidTr="002A0D41">
        <w:tc>
          <w:tcPr>
            <w:tcW w:w="2783" w:type="dxa"/>
            <w:shd w:val="clear" w:color="auto" w:fill="auto"/>
          </w:tcPr>
          <w:p w:rsidR="0007439D" w:rsidRPr="00267280" w:rsidRDefault="0007439D" w:rsidP="002A0D41">
            <w:pPr>
              <w:pStyle w:val="Ruller41"/>
              <w:jc w:val="center"/>
              <w:rPr>
                <w:rtl/>
              </w:rPr>
            </w:pPr>
          </w:p>
        </w:tc>
        <w:tc>
          <w:tcPr>
            <w:tcW w:w="2797" w:type="dxa"/>
            <w:shd w:val="clear" w:color="auto" w:fill="auto"/>
          </w:tcPr>
          <w:p w:rsidR="0007439D" w:rsidRPr="00267280" w:rsidRDefault="0007439D" w:rsidP="002A0D41">
            <w:pPr>
              <w:pStyle w:val="Ruller41"/>
              <w:jc w:val="center"/>
              <w:rPr>
                <w:rtl/>
              </w:rPr>
            </w:pPr>
          </w:p>
        </w:tc>
        <w:tc>
          <w:tcPr>
            <w:tcW w:w="2783" w:type="dxa"/>
            <w:shd w:val="clear" w:color="auto" w:fill="auto"/>
          </w:tcPr>
          <w:p w:rsidR="0007439D" w:rsidRPr="00267280" w:rsidRDefault="0007439D" w:rsidP="002A0D41">
            <w:pPr>
              <w:pStyle w:val="Ruller41"/>
              <w:jc w:val="right"/>
              <w:rPr>
                <w:rtl/>
              </w:rPr>
            </w:pPr>
            <w:r>
              <w:rPr>
                <w:rFonts w:hint="cs"/>
                <w:rtl/>
              </w:rPr>
              <w:t>ש ו פ ט</w:t>
            </w:r>
          </w:p>
        </w:tc>
      </w:tr>
    </w:tbl>
    <w:p w:rsidR="0007439D" w:rsidRDefault="0007439D" w:rsidP="00A51FAE">
      <w:pPr>
        <w:pStyle w:val="Ruller41"/>
        <w:rPr>
          <w:rtl/>
        </w:rPr>
      </w:pPr>
    </w:p>
    <w:p w:rsidR="00C634B8" w:rsidRDefault="00C634B8" w:rsidP="00A51FAE">
      <w:pPr>
        <w:pStyle w:val="Ruller41"/>
        <w:rPr>
          <w:rtl/>
        </w:rPr>
      </w:pPr>
    </w:p>
    <w:p w:rsidR="00C634B8" w:rsidRDefault="00C634B8" w:rsidP="00A51FAE">
      <w:pPr>
        <w:pStyle w:val="Ruller41"/>
        <w:rPr>
          <w:rtl/>
        </w:rPr>
      </w:pPr>
    </w:p>
    <w:p w:rsidR="00C97B4E" w:rsidRPr="00D57E3F" w:rsidRDefault="00C97B4E" w:rsidP="00C97B4E">
      <w:pPr>
        <w:pStyle w:val="Ruller41"/>
        <w:rPr>
          <w:rFonts w:ascii="Century" w:hAnsi="Century" w:cs="Miriam"/>
          <w:b/>
          <w:spacing w:val="0"/>
          <w:szCs w:val="24"/>
          <w:rtl/>
        </w:rPr>
      </w:pPr>
      <w:r>
        <w:rPr>
          <w:rFonts w:ascii="Century" w:hAnsi="Century" w:cs="Miriam" w:hint="cs"/>
          <w:b/>
          <w:spacing w:val="0"/>
          <w:szCs w:val="24"/>
          <w:u w:val="single"/>
          <w:rtl/>
        </w:rPr>
        <w:lastRenderedPageBreak/>
        <w:t>הנשיאה (בדימ') א' חיות</w:t>
      </w:r>
      <w:r>
        <w:rPr>
          <w:rFonts w:ascii="Century" w:hAnsi="Century" w:cs="Miriam" w:hint="cs"/>
          <w:b/>
          <w:spacing w:val="0"/>
          <w:szCs w:val="24"/>
          <w:rtl/>
        </w:rPr>
        <w:t>:</w:t>
      </w:r>
    </w:p>
    <w:p w:rsidR="00C97B4E" w:rsidRDefault="00C97B4E" w:rsidP="00C97B4E">
      <w:pPr>
        <w:pStyle w:val="Ruller41"/>
        <w:rPr>
          <w:rtl/>
        </w:rPr>
      </w:pPr>
    </w:p>
    <w:p w:rsidR="00EB10CF" w:rsidRPr="00EB10CF" w:rsidRDefault="00EB10CF" w:rsidP="00EB10CF">
      <w:pPr>
        <w:pStyle w:val="Ruller4"/>
        <w:numPr>
          <w:ilvl w:val="0"/>
          <w:numId w:val="25"/>
        </w:numPr>
        <w:rPr>
          <w:rFonts w:ascii="Century" w:hAnsi="Century"/>
          <w:sz w:val="22"/>
        </w:rPr>
      </w:pPr>
      <w:r>
        <w:rPr>
          <w:rFonts w:hint="cs"/>
          <w:rtl/>
        </w:rPr>
        <w:t xml:space="preserve">אני </w:t>
      </w:r>
      <w:r w:rsidRPr="00EB10CF">
        <w:rPr>
          <w:rFonts w:ascii="FrankRuehl" w:hAnsi="FrankRuehl"/>
          <w:color w:val="000000"/>
          <w:sz w:val="28"/>
          <w:rtl/>
        </w:rPr>
        <w:t xml:space="preserve">מסכימה לחוות דעתו המנומקת של חברי </w:t>
      </w:r>
      <w:r w:rsidRPr="00EB10CF">
        <w:rPr>
          <w:rFonts w:ascii="FrankRuehl" w:hAnsi="FrankRuehl" w:hint="cs"/>
          <w:color w:val="000000"/>
          <w:sz w:val="28"/>
          <w:rtl/>
        </w:rPr>
        <w:t>ממלא מקום הנשיא</w:t>
      </w:r>
      <w:r w:rsidRPr="00EB10CF">
        <w:rPr>
          <w:rFonts w:ascii="FrankRuehl" w:hAnsi="FrankRuehl"/>
          <w:color w:val="000000"/>
          <w:sz w:val="28"/>
          <w:rtl/>
        </w:rPr>
        <w:t> </w:t>
      </w:r>
      <w:r w:rsidRPr="00EB10CF">
        <w:rPr>
          <w:rFonts w:ascii="Century" w:hAnsi="Century" w:cs="Miriam"/>
          <w:b/>
          <w:spacing w:val="0"/>
          <w:sz w:val="22"/>
          <w:szCs w:val="24"/>
          <w:rtl/>
        </w:rPr>
        <w:t>ע' פוגלמן</w:t>
      </w:r>
      <w:r w:rsidRPr="00EB10CF">
        <w:rPr>
          <w:rFonts w:ascii="Century" w:hAnsi="Century" w:hint="cs"/>
          <w:sz w:val="22"/>
          <w:rtl/>
        </w:rPr>
        <w:t xml:space="preserve">, ולכל טעמיה. </w:t>
      </w:r>
    </w:p>
    <w:p w:rsidR="00EB10CF" w:rsidRDefault="00EB10CF" w:rsidP="00EB10CF">
      <w:pPr>
        <w:pStyle w:val="Ruller4"/>
        <w:numPr>
          <w:ilvl w:val="0"/>
          <w:numId w:val="0"/>
        </w:numPr>
        <w:rPr>
          <w:rFonts w:ascii="Century" w:hAnsi="Century"/>
          <w:sz w:val="22"/>
          <w:rtl/>
        </w:rPr>
      </w:pPr>
    </w:p>
    <w:p w:rsidR="00EB10CF" w:rsidRDefault="00EB10CF" w:rsidP="00EB10CF">
      <w:pPr>
        <w:pStyle w:val="Ruller4"/>
        <w:numPr>
          <w:ilvl w:val="0"/>
          <w:numId w:val="0"/>
        </w:numPr>
        <w:rPr>
          <w:rtl/>
        </w:rPr>
      </w:pPr>
      <w:r>
        <w:rPr>
          <w:rFonts w:ascii="Century" w:hAnsi="Century"/>
          <w:sz w:val="22"/>
          <w:rtl/>
        </w:rPr>
        <w:tab/>
      </w:r>
      <w:r>
        <w:rPr>
          <w:rFonts w:hint="cs"/>
          <w:rtl/>
        </w:rPr>
        <w:t xml:space="preserve">מקובלת עליי קביעתו של חברי כי בשלב זה אין צורך לטעת מסמרות בסוגיות החוקתיות שמעורר </w:t>
      </w:r>
      <w:r w:rsidRPr="003E4F42">
        <w:rPr>
          <w:rFonts w:ascii="Century" w:hAnsi="Century" w:hint="cs"/>
          <w:rtl/>
        </w:rPr>
        <w:t xml:space="preserve">חוק הרשויות המקומיות (בחירות) (תיקון מס' 53), התשפ"ג-2023 (להלן: </w:t>
      </w:r>
      <w:r w:rsidRPr="003E4F42">
        <w:rPr>
          <w:rFonts w:ascii="Century" w:hAnsi="Century" w:cs="Miriam" w:hint="cs"/>
          <w:b/>
          <w:spacing w:val="0"/>
          <w:szCs w:val="24"/>
          <w:rtl/>
        </w:rPr>
        <w:t>התיקון</w:t>
      </w:r>
      <w:r w:rsidRPr="003E4F42">
        <w:rPr>
          <w:rFonts w:ascii="Century" w:hAnsi="Century" w:hint="cs"/>
          <w:rtl/>
        </w:rPr>
        <w:t>)</w:t>
      </w:r>
      <w:r>
        <w:rPr>
          <w:rFonts w:hint="cs"/>
          <w:rtl/>
        </w:rPr>
        <w:t xml:space="preserve">. זאת, שכן ניתן להכריע בעתירות תוך מיקוד הדיון בשאלה </w:t>
      </w:r>
      <w:r w:rsidRPr="00640387">
        <w:rPr>
          <w:rFonts w:ascii="Century" w:hAnsi="Century" w:cs="Miriam" w:hint="cs"/>
          <w:b/>
          <w:spacing w:val="0"/>
          <w:sz w:val="22"/>
          <w:szCs w:val="24"/>
          <w:rtl/>
        </w:rPr>
        <w:t>הפרשנית</w:t>
      </w:r>
      <w:r>
        <w:rPr>
          <w:rFonts w:hint="cs"/>
          <w:rtl/>
        </w:rPr>
        <w:t xml:space="preserve"> הנוגעת לתחולת התיקון ביחס לבחירות לרשויות המקומיות שהיו אמורות להתקיים ביום 31.10.2023 (ט"ז בחשון התשפ"ד) ונדחו ליום 30.1.2024 (כ' בשבט התשפ"ד) (באשר לעקרון לפיו בית המשפט יידרש לשאלת בטלותו של חוק כ"מוצא אחרון" ראו פסקאות 32-31 לחוות דעתו של חברי ממלא מקום הנשיא והאסמכתאות המפורטות שם). </w:t>
      </w:r>
    </w:p>
    <w:p w:rsidR="00EB10CF" w:rsidRDefault="00EB10CF" w:rsidP="00EB10CF">
      <w:pPr>
        <w:pStyle w:val="Ruller4"/>
        <w:numPr>
          <w:ilvl w:val="0"/>
          <w:numId w:val="0"/>
        </w:numPr>
        <w:rPr>
          <w:rtl/>
        </w:rPr>
      </w:pPr>
    </w:p>
    <w:p w:rsidR="00EB10CF" w:rsidRPr="00121290" w:rsidRDefault="00EB10CF" w:rsidP="00EB10CF">
      <w:pPr>
        <w:pStyle w:val="Ruller41"/>
        <w:rPr>
          <w:rtl/>
        </w:rPr>
      </w:pPr>
      <w:r>
        <w:rPr>
          <w:rtl/>
        </w:rPr>
        <w:tab/>
      </w:r>
      <w:r>
        <w:rPr>
          <w:rFonts w:hint="cs"/>
          <w:rtl/>
        </w:rPr>
        <w:t xml:space="preserve">כפי שהדגיש חברי, אחת מן התכליות הסובייקטיביות של התיקון, המשתקפת בבירור מן הדיונים בכנסת, היא התכלית הפרסונאלית המובהקת לפיה התיקון נועד לסלול את הדרך להתמודדותו של מר בועז יוסף (להלן: </w:t>
      </w:r>
      <w:r w:rsidRPr="009F56F5">
        <w:rPr>
          <w:rFonts w:ascii="Century" w:hAnsi="Century" w:cs="Miriam" w:hint="cs"/>
          <w:b/>
          <w:spacing w:val="0"/>
          <w:szCs w:val="24"/>
          <w:rtl/>
        </w:rPr>
        <w:t>יוסף</w:t>
      </w:r>
      <w:r>
        <w:rPr>
          <w:rFonts w:hint="cs"/>
          <w:rtl/>
        </w:rPr>
        <w:t>), ראש הוועדה הממונה בטבריה, בבחירות הקרובות לראשות העירייה. אין מדובר אך ב</w:t>
      </w:r>
      <w:r w:rsidRPr="008D6BD8">
        <w:rPr>
          <w:rFonts w:ascii="Century" w:hAnsi="Century" w:cs="Miriam" w:hint="cs"/>
          <w:b/>
          <w:spacing w:val="0"/>
          <w:szCs w:val="24"/>
          <w:rtl/>
        </w:rPr>
        <w:t xml:space="preserve">מניע </w:t>
      </w:r>
      <w:r>
        <w:rPr>
          <w:rFonts w:hint="cs"/>
          <w:rtl/>
        </w:rPr>
        <w:t xml:space="preserve">("הטריגר") לחקיקת התיקון אלא באחת מן ההצדקות העיקריות לקדמו במועד שבו נחקק (ראו אמירותיהם של מציע הצעת החוק ושל חברי כנסת נוספים המצוטטות בפסקאות 39-37 לחוות דעתו של חברי ממלא מקום הנשיא </w:t>
      </w:r>
      <w:r w:rsidRPr="008D6BD8">
        <w:rPr>
          <w:rFonts w:ascii="Century" w:hAnsi="Century" w:cs="Miriam" w:hint="cs"/>
          <w:b/>
          <w:spacing w:val="0"/>
          <w:szCs w:val="24"/>
          <w:rtl/>
        </w:rPr>
        <w:t>פוגלמן</w:t>
      </w:r>
      <w:r>
        <w:rPr>
          <w:rFonts w:hint="cs"/>
          <w:rtl/>
        </w:rPr>
        <w:t xml:space="preserve">). תכלית סובייקטיבית זו צובעת את התיקון בצבעים פרסונליים עזים. ואם לא די בכך, מדובר בתיקון אשר החלתו המיידית יש בה מימד רטרוספקטיבי ו"שינוי של כללי המשחק תוך כדי המשחק", הפוגעים ביציבות ובוודאות של דיני הבחירות. בנסיבות אלה, וכחברי ממלא מקום הנשיא, אף אני סבורה כי יש לבכר את התכליות האובייקטיביות הנוגעות </w:t>
      </w:r>
      <w:r>
        <w:rPr>
          <w:rtl/>
        </w:rPr>
        <w:t>–</w:t>
      </w:r>
      <w:r>
        <w:rPr>
          <w:rFonts w:hint="cs"/>
          <w:rtl/>
        </w:rPr>
        <w:t xml:space="preserve"> כל אחת בנפרד, וודאי בהצטברותן </w:t>
      </w:r>
      <w:r>
        <w:rPr>
          <w:rtl/>
        </w:rPr>
        <w:t>–</w:t>
      </w:r>
      <w:r>
        <w:rPr>
          <w:rFonts w:hint="cs"/>
          <w:rtl/>
        </w:rPr>
        <w:t xml:space="preserve"> לעקרונות בסיסיים שבליבת שיטתנו המשפטית: "</w:t>
      </w:r>
      <w:r w:rsidRPr="003E4F42">
        <w:rPr>
          <w:rFonts w:hint="cs"/>
          <w:rtl/>
        </w:rPr>
        <w:t>החזקה נגד תחולה למפרע; הכלל שאין משנים את כללי הבחירות בתוך תקופת הבחירות; ועקרון שלטון החוק שמחייב שחקיקה תהא, ככלל, כללית ולא פרסונלית</w:t>
      </w:r>
      <w:r>
        <w:rPr>
          <w:rFonts w:hint="cs"/>
          <w:rtl/>
        </w:rPr>
        <w:t xml:space="preserve">" (פסקה 62 לחוות דעתו של חברי). לפיכך, אני מצטרפת למסקנה לפיה יש לפרש את התיקון כך שלא יחול ביחס לבחירות לרשויות המקומיות שיתקיימו בסמוך לאחר חקיקתו. </w:t>
      </w:r>
    </w:p>
    <w:p w:rsidR="00EB10CF" w:rsidRDefault="00EB10CF" w:rsidP="00EB10CF">
      <w:pPr>
        <w:pStyle w:val="Ruller41"/>
        <w:rPr>
          <w:rtl/>
        </w:rPr>
      </w:pPr>
    </w:p>
    <w:p w:rsidR="00EB10CF" w:rsidRDefault="00EB10CF" w:rsidP="00EB10CF">
      <w:pPr>
        <w:pStyle w:val="Ruller4"/>
      </w:pPr>
      <w:r>
        <w:rPr>
          <w:rFonts w:hint="cs"/>
          <w:rtl/>
        </w:rPr>
        <w:t xml:space="preserve">לצד האמור ראיתי להוסיף שתי הערות קצרות. </w:t>
      </w:r>
      <w:r w:rsidRPr="00E113B4">
        <w:rPr>
          <w:rFonts w:ascii="Century" w:hAnsi="Century" w:cs="Miriam" w:hint="cs"/>
          <w:b/>
          <w:spacing w:val="0"/>
          <w:sz w:val="22"/>
          <w:szCs w:val="24"/>
          <w:rtl/>
        </w:rPr>
        <w:t>הראשונה</w:t>
      </w:r>
      <w:r w:rsidRPr="001D1895">
        <w:rPr>
          <w:rFonts w:hint="cs"/>
          <w:rtl/>
        </w:rPr>
        <w:t xml:space="preserve"> </w:t>
      </w:r>
      <w:r>
        <w:rPr>
          <w:rFonts w:hint="cs"/>
          <w:rtl/>
        </w:rPr>
        <w:t xml:space="preserve">נוגעת לזכות לבחור ולהיבחר ולשוויון בין מועמדים בבחירות לרשויות המקומיות. כבר נפסק כי הזכות לבחור ולהיבחר היא אבן יסוד של שיטת המשטר שלנו והיא כוללת גם את הזכות לבחור ולהיבחר לרשויות מקומיות (ראו: </w:t>
      </w:r>
      <w:r w:rsidRPr="003E4F42">
        <w:rPr>
          <w:rFonts w:hint="cs"/>
          <w:rtl/>
        </w:rPr>
        <w:t xml:space="preserve">בג"ץ 3791/93 </w:t>
      </w:r>
      <w:r w:rsidRPr="00E113B4">
        <w:rPr>
          <w:rFonts w:ascii="Century" w:hAnsi="Century" w:cs="Miriam" w:hint="cs"/>
          <w:b/>
          <w:spacing w:val="0"/>
          <w:szCs w:val="24"/>
          <w:rtl/>
        </w:rPr>
        <w:t>משלב נ' שר הפנים</w:t>
      </w:r>
      <w:r w:rsidRPr="00E113B4">
        <w:rPr>
          <w:rFonts w:ascii="Century" w:hAnsi="Century" w:hint="cs"/>
          <w:rtl/>
        </w:rPr>
        <w:t xml:space="preserve">, פ"ד מז(4) 126, </w:t>
      </w:r>
      <w:r w:rsidRPr="00E113B4">
        <w:rPr>
          <w:rFonts w:ascii="Century" w:hAnsi="Century" w:hint="cs"/>
          <w:rtl/>
        </w:rPr>
        <w:lastRenderedPageBreak/>
        <w:t>130 (1993)</w:t>
      </w:r>
      <w:r>
        <w:rPr>
          <w:rFonts w:hint="cs"/>
          <w:rtl/>
        </w:rPr>
        <w:t xml:space="preserve">; </w:t>
      </w:r>
      <w:r w:rsidRPr="00B93FD4">
        <w:rPr>
          <w:rFonts w:hint="eastAsia"/>
          <w:rtl/>
        </w:rPr>
        <w:t>בג</w:t>
      </w:r>
      <w:r w:rsidRPr="00B93FD4">
        <w:rPr>
          <w:rtl/>
        </w:rPr>
        <w:t>"</w:t>
      </w:r>
      <w:r w:rsidRPr="00B93FD4">
        <w:rPr>
          <w:rFonts w:hint="eastAsia"/>
          <w:rtl/>
        </w:rPr>
        <w:t>ץ</w:t>
      </w:r>
      <w:r>
        <w:rPr>
          <w:rtl/>
        </w:rPr>
        <w:t xml:space="preserve"> 3090/97‏ </w:t>
      </w:r>
      <w:r w:rsidRPr="00E113B4">
        <w:rPr>
          <w:rFonts w:ascii="Century" w:hAnsi="Century" w:cs="Miriam" w:hint="eastAsia"/>
          <w:b/>
          <w:spacing w:val="0"/>
          <w:sz w:val="22"/>
          <w:szCs w:val="24"/>
          <w:rtl/>
        </w:rPr>
        <w:t>כהן</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נ</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הממונה</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על</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מחוז</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הדרום</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משרד</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הפנים</w:t>
      </w:r>
      <w:r w:rsidRPr="00B93FD4">
        <w:rPr>
          <w:rtl/>
        </w:rPr>
        <w:t xml:space="preserve">, </w:t>
      </w:r>
      <w:r w:rsidRPr="00B93FD4">
        <w:rPr>
          <w:rFonts w:hint="eastAsia"/>
          <w:rtl/>
        </w:rPr>
        <w:t>פ</w:t>
      </w:r>
      <w:r w:rsidRPr="00B93FD4">
        <w:rPr>
          <w:rtl/>
        </w:rPr>
        <w:t>''</w:t>
      </w:r>
      <w:r w:rsidRPr="00B93FD4">
        <w:rPr>
          <w:rFonts w:hint="eastAsia"/>
          <w:rtl/>
        </w:rPr>
        <w:t>ד</w:t>
      </w:r>
      <w:r w:rsidRPr="00B93FD4">
        <w:rPr>
          <w:rtl/>
        </w:rPr>
        <w:t xml:space="preserve"> </w:t>
      </w:r>
      <w:r w:rsidRPr="00B93FD4">
        <w:rPr>
          <w:rFonts w:hint="eastAsia"/>
          <w:rtl/>
        </w:rPr>
        <w:t>נב</w:t>
      </w:r>
      <w:r w:rsidRPr="00B93FD4">
        <w:rPr>
          <w:rtl/>
        </w:rPr>
        <w:t>(2) 721</w:t>
      </w:r>
      <w:r>
        <w:rPr>
          <w:rFonts w:hint="cs"/>
          <w:rtl/>
        </w:rPr>
        <w:t>, 735 (1998)). הזכות לבחור ולהיבחר לשלטון המקומי אף הוצגה כ"</w:t>
      </w:r>
      <w:r w:rsidRPr="00E113B4">
        <w:rPr>
          <w:rFonts w:ascii="FrankRuehl" w:hAnsi="FrankRuehl"/>
          <w:color w:val="000000"/>
          <w:sz w:val="28"/>
          <w:rtl/>
        </w:rPr>
        <w:t>זכות חוקתית מוכרת בעלת מעמד-על</w:t>
      </w:r>
      <w:r w:rsidRPr="00E113B4">
        <w:rPr>
          <w:rFonts w:ascii="FrankRuehl" w:hAnsi="FrankRuehl" w:hint="cs"/>
          <w:color w:val="000000"/>
          <w:sz w:val="28"/>
          <w:rtl/>
        </w:rPr>
        <w:t>"</w:t>
      </w:r>
      <w:r>
        <w:rPr>
          <w:rFonts w:hint="cs"/>
          <w:rtl/>
        </w:rPr>
        <w:t xml:space="preserve"> (</w:t>
      </w:r>
      <w:r w:rsidRPr="00E113B4">
        <w:rPr>
          <w:rFonts w:ascii="FrankRuehl" w:hAnsi="FrankRuehl" w:hint="eastAsia"/>
          <w:color w:val="000000"/>
          <w:sz w:val="28"/>
          <w:rtl/>
        </w:rPr>
        <w:t>בג</w:t>
      </w:r>
      <w:r w:rsidRPr="00E113B4">
        <w:rPr>
          <w:rFonts w:ascii="FrankRuehl" w:hAnsi="FrankRuehl" w:hint="cs"/>
          <w:color w:val="000000"/>
          <w:sz w:val="28"/>
          <w:rtl/>
        </w:rPr>
        <w:t>"</w:t>
      </w:r>
      <w:r w:rsidRPr="00E113B4">
        <w:rPr>
          <w:rFonts w:ascii="FrankRuehl" w:hAnsi="FrankRuehl" w:hint="eastAsia"/>
          <w:color w:val="000000"/>
          <w:sz w:val="28"/>
          <w:rtl/>
        </w:rPr>
        <w:t>ץ</w:t>
      </w:r>
      <w:r w:rsidRPr="00E113B4">
        <w:rPr>
          <w:rFonts w:ascii="FrankRuehl" w:hAnsi="FrankRuehl"/>
          <w:color w:val="000000"/>
          <w:sz w:val="28"/>
          <w:rtl/>
        </w:rPr>
        <w:t xml:space="preserve"> 10466/08 ‏</w:t>
      </w:r>
      <w:r w:rsidRPr="00E113B4">
        <w:rPr>
          <w:rFonts w:ascii="Century" w:hAnsi="Century" w:cs="Miriam" w:hint="eastAsia"/>
          <w:b/>
          <w:spacing w:val="0"/>
          <w:sz w:val="22"/>
          <w:szCs w:val="24"/>
          <w:rtl/>
        </w:rPr>
        <w:t>אלחייני</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נ</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מפקד</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כוחות</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צה</w:t>
      </w:r>
      <w:r w:rsidRPr="00E113B4">
        <w:rPr>
          <w:rFonts w:ascii="Century" w:hAnsi="Century" w:cs="Miriam"/>
          <w:b/>
          <w:spacing w:val="0"/>
          <w:sz w:val="22"/>
          <w:szCs w:val="24"/>
          <w:rtl/>
        </w:rPr>
        <w:t>"</w:t>
      </w:r>
      <w:r w:rsidRPr="00E113B4">
        <w:rPr>
          <w:rFonts w:ascii="Century" w:hAnsi="Century" w:cs="Miriam" w:hint="eastAsia"/>
          <w:b/>
          <w:spacing w:val="0"/>
          <w:sz w:val="22"/>
          <w:szCs w:val="24"/>
          <w:rtl/>
        </w:rPr>
        <w:t>ל</w:t>
      </w:r>
      <w:r w:rsidRPr="00E113B4">
        <w:rPr>
          <w:rFonts w:ascii="Century" w:hAnsi="Century" w:cs="Miriam"/>
          <w:b/>
          <w:spacing w:val="0"/>
          <w:sz w:val="22"/>
          <w:szCs w:val="24"/>
          <w:rtl/>
        </w:rPr>
        <w:t xml:space="preserve"> </w:t>
      </w:r>
      <w:r w:rsidRPr="00E113B4">
        <w:rPr>
          <w:rFonts w:ascii="Century" w:hAnsi="Century" w:cs="Miriam" w:hint="eastAsia"/>
          <w:b/>
          <w:spacing w:val="0"/>
          <w:sz w:val="22"/>
          <w:szCs w:val="24"/>
          <w:rtl/>
        </w:rPr>
        <w:t>ביו</w:t>
      </w:r>
      <w:r w:rsidRPr="00E113B4">
        <w:rPr>
          <w:rFonts w:ascii="Century" w:hAnsi="Century" w:cs="Miriam"/>
          <w:b/>
          <w:spacing w:val="0"/>
          <w:sz w:val="22"/>
          <w:szCs w:val="24"/>
          <w:rtl/>
        </w:rPr>
        <w:t>"</w:t>
      </w:r>
      <w:r w:rsidRPr="00E113B4">
        <w:rPr>
          <w:rFonts w:ascii="Century" w:hAnsi="Century" w:cs="Miriam" w:hint="eastAsia"/>
          <w:b/>
          <w:spacing w:val="0"/>
          <w:sz w:val="22"/>
          <w:szCs w:val="24"/>
          <w:rtl/>
        </w:rPr>
        <w:t>ש</w:t>
      </w:r>
      <w:r w:rsidRPr="00E113B4">
        <w:rPr>
          <w:rFonts w:ascii="FrankRuehl" w:hAnsi="FrankRuehl" w:hint="cs"/>
          <w:color w:val="000000"/>
          <w:sz w:val="28"/>
          <w:rtl/>
        </w:rPr>
        <w:t>, פסקה 17 (19.1.2009)</w:t>
      </w:r>
      <w:r>
        <w:rPr>
          <w:rFonts w:hint="cs"/>
          <w:rtl/>
        </w:rPr>
        <w:t xml:space="preserve">). עם זאת, זכות זו וכן השוויון בין מועמדים בבחירות המקומיות אינם מעוגנים באופן מפורש בחוק יסוד (אך לעניין השוויון ראו בחקיקה "רגילה": סעיף 2 לחוק הרשויות המקומיות (בחירות), התשכ"ה-1965; וסעיף 2 לחוק הרשויות המקומיות (בחירת ראש הרשות וסגניו וכהונתם), התשל"ה-1975). זאת, בשונה מהזכות לבחור ולהיבחר לכנסת המעוגנת בסעיפים 6-5 לחוק-יסוד: הכנסת ומעקרון השוויון בין המועמדים בבחירות לכנסת שמקורו בסעיף 4 לחוק-יסוד: הכנסת (ראו: </w:t>
      </w:r>
      <w:r w:rsidRPr="003E4F42">
        <w:rPr>
          <w:rFonts w:hint="cs"/>
          <w:rtl/>
        </w:rPr>
        <w:t xml:space="preserve">בג"ץ 98/69 </w:t>
      </w:r>
      <w:r w:rsidRPr="00E113B4">
        <w:rPr>
          <w:rFonts w:ascii="Century" w:hAnsi="Century" w:cs="Miriam" w:hint="cs"/>
          <w:b/>
          <w:spacing w:val="0"/>
          <w:sz w:val="22"/>
          <w:szCs w:val="24"/>
          <w:rtl/>
        </w:rPr>
        <w:t>ברגמן נ' שר האוצר</w:t>
      </w:r>
      <w:r w:rsidRPr="00E113B4">
        <w:rPr>
          <w:rFonts w:ascii="Century" w:hAnsi="Century" w:hint="cs"/>
          <w:sz w:val="22"/>
          <w:rtl/>
        </w:rPr>
        <w:t>, פ"ד כג(1) 693 (1969)</w:t>
      </w:r>
      <w:r>
        <w:rPr>
          <w:rFonts w:hint="cs"/>
          <w:rtl/>
        </w:rPr>
        <w:t xml:space="preserve">). </w:t>
      </w:r>
    </w:p>
    <w:p w:rsidR="00EB10CF" w:rsidRDefault="00EB10CF" w:rsidP="00EB10CF">
      <w:pPr>
        <w:pStyle w:val="Ruller4"/>
        <w:numPr>
          <w:ilvl w:val="0"/>
          <w:numId w:val="0"/>
        </w:numPr>
        <w:rPr>
          <w:rtl/>
        </w:rPr>
      </w:pPr>
    </w:p>
    <w:p w:rsidR="00EB10CF" w:rsidRDefault="00EB10CF" w:rsidP="00EB10CF">
      <w:pPr>
        <w:pStyle w:val="Ruller4"/>
        <w:numPr>
          <w:ilvl w:val="0"/>
          <w:numId w:val="0"/>
        </w:numPr>
        <w:rPr>
          <w:rtl/>
        </w:rPr>
      </w:pPr>
      <w:r>
        <w:rPr>
          <w:rFonts w:hint="cs"/>
          <w:rtl/>
        </w:rPr>
        <w:t xml:space="preserve"> </w:t>
      </w:r>
      <w:r>
        <w:rPr>
          <w:rtl/>
        </w:rPr>
        <w:tab/>
      </w:r>
      <w:r>
        <w:rPr>
          <w:rFonts w:ascii="FrankRuehl" w:hAnsi="FrankRuehl" w:hint="cs"/>
          <w:color w:val="000000"/>
          <w:sz w:val="28"/>
          <w:rtl/>
        </w:rPr>
        <w:t>עד כה, פרט לאמירות כלליות באשר למעמד הרם של הזכות לבחור ולהיבחר לרשויות המקומיות, נמנע בית המשפט</w:t>
      </w:r>
      <w:r>
        <w:rPr>
          <w:rFonts w:hint="cs"/>
          <w:rtl/>
        </w:rPr>
        <w:t xml:space="preserve"> לגזור את מעמדה של זכות זו ושל השוויון בין מועמדים בבחירות המקומיות מחוק-יסוד: כבוד האדם וחירותו ועל כן, טרם בחן חקיקה הפוגעת בהם במשקפי "פסקת ההגבלה" (ראו: </w:t>
      </w:r>
      <w:r w:rsidRPr="00B95BDC">
        <w:rPr>
          <w:rFonts w:ascii="Century" w:hAnsi="Century" w:hint="cs"/>
          <w:rtl/>
        </w:rPr>
        <w:t xml:space="preserve">בג"ץ 8238/96 </w:t>
      </w:r>
      <w:r w:rsidRPr="00B95BDC">
        <w:rPr>
          <w:rFonts w:ascii="Century" w:hAnsi="Century" w:cs="Miriam" w:hint="cs"/>
          <w:b/>
          <w:spacing w:val="0"/>
          <w:szCs w:val="24"/>
          <w:rtl/>
        </w:rPr>
        <w:t xml:space="preserve">אבו עראר נ' שר </w:t>
      </w:r>
      <w:r w:rsidRPr="0077568D">
        <w:rPr>
          <w:rFonts w:ascii="Century" w:hAnsi="Century" w:cs="Miriam" w:hint="cs"/>
          <w:b/>
          <w:spacing w:val="0"/>
          <w:sz w:val="22"/>
          <w:szCs w:val="24"/>
          <w:rtl/>
        </w:rPr>
        <w:t>הפנים</w:t>
      </w:r>
      <w:r w:rsidRPr="00B95BDC">
        <w:rPr>
          <w:rFonts w:ascii="Century" w:hAnsi="Century" w:hint="cs"/>
          <w:rtl/>
        </w:rPr>
        <w:t>, פ"ד נב(4) 26 (1998)</w:t>
      </w:r>
      <w:r>
        <w:rPr>
          <w:rFonts w:hint="cs"/>
          <w:rtl/>
        </w:rPr>
        <w:t xml:space="preserve">; </w:t>
      </w:r>
      <w:r w:rsidRPr="00B95BDC">
        <w:rPr>
          <w:rFonts w:ascii="Century" w:hAnsi="Century" w:hint="cs"/>
          <w:rtl/>
        </w:rPr>
        <w:t xml:space="preserve">בג"ץ 2845/20 </w:t>
      </w:r>
      <w:r w:rsidRPr="00B95BDC">
        <w:rPr>
          <w:rFonts w:ascii="Century" w:hAnsi="Century" w:cs="Miriam" w:hint="cs"/>
          <w:b/>
          <w:spacing w:val="0"/>
          <w:szCs w:val="24"/>
          <w:rtl/>
        </w:rPr>
        <w:t xml:space="preserve">מפלגת "זה מקומי" </w:t>
      </w:r>
      <w:r>
        <w:rPr>
          <w:rFonts w:ascii="Century" w:hAnsi="Century" w:cs="Miriam"/>
          <w:b/>
          <w:spacing w:val="0"/>
          <w:szCs w:val="24"/>
          <w:rtl/>
        </w:rPr>
        <w:t>–</w:t>
      </w:r>
      <w:r w:rsidRPr="00B95BDC">
        <w:rPr>
          <w:rFonts w:ascii="Century" w:hAnsi="Century" w:cs="Miriam" w:hint="cs"/>
          <w:b/>
          <w:spacing w:val="0"/>
          <w:szCs w:val="24"/>
          <w:rtl/>
        </w:rPr>
        <w:t xml:space="preserve"> המפלגה המקומית הישראלית נ' משרד האוצר</w:t>
      </w:r>
      <w:r w:rsidRPr="00B95BDC">
        <w:rPr>
          <w:rFonts w:ascii="Century" w:hAnsi="Century" w:hint="cs"/>
          <w:rtl/>
        </w:rPr>
        <w:t>, פסקה 5 (27.5.2021)).</w:t>
      </w:r>
      <w:r>
        <w:rPr>
          <w:rFonts w:hint="cs"/>
          <w:rtl/>
        </w:rPr>
        <w:t xml:space="preserve"> הכרעה בשאלה זו אינה נדרשת אף עתה, נוכח התוצאה שאליה הגענו. אך בהינתן חשיבותן של הבחירות לרשויות המקומיות ל"</w:t>
      </w:r>
      <w:r>
        <w:rPr>
          <w:rtl/>
        </w:rPr>
        <w:t>ניהול של נושאים מקומיים באופן התואם את רצונם ואת שאיפותיהם</w:t>
      </w:r>
      <w:r>
        <w:rPr>
          <w:rFonts w:hint="cs"/>
          <w:rtl/>
        </w:rPr>
        <w:t xml:space="preserve"> של תושבי המקום" (ב</w:t>
      </w:r>
      <w:r w:rsidRPr="003E4F42">
        <w:rPr>
          <w:rFonts w:hint="cs"/>
          <w:rtl/>
        </w:rPr>
        <w:t>ג"ץ</w:t>
      </w:r>
      <w:r w:rsidRPr="003E4F42">
        <w:rPr>
          <w:rFonts w:hint="eastAsia"/>
          <w:rtl/>
        </w:rPr>
        <w:t xml:space="preserve"> </w:t>
      </w:r>
      <w:r w:rsidRPr="003E4F42">
        <w:rPr>
          <w:rtl/>
        </w:rPr>
        <w:t xml:space="preserve">7181/08 </w:t>
      </w:r>
      <w:r w:rsidRPr="003E4F42">
        <w:rPr>
          <w:rFonts w:ascii="Century" w:hAnsi="Century" w:cs="Miriam" w:hint="eastAsia"/>
          <w:b/>
          <w:spacing w:val="0"/>
          <w:szCs w:val="24"/>
          <w:rtl/>
        </w:rPr>
        <w:t>לוינטל</w:t>
      </w:r>
      <w:r w:rsidRPr="003E4F42">
        <w:rPr>
          <w:rFonts w:ascii="Century" w:hAnsi="Century" w:cs="Miriam"/>
          <w:b/>
          <w:spacing w:val="0"/>
          <w:szCs w:val="24"/>
          <w:rtl/>
        </w:rPr>
        <w:t xml:space="preserve"> </w:t>
      </w:r>
      <w:r w:rsidRPr="003E4F42">
        <w:rPr>
          <w:rFonts w:ascii="Century" w:hAnsi="Century" w:cs="Miriam" w:hint="eastAsia"/>
          <w:b/>
          <w:spacing w:val="0"/>
          <w:szCs w:val="24"/>
          <w:rtl/>
        </w:rPr>
        <w:t>נ</w:t>
      </w:r>
      <w:r w:rsidRPr="003E4F42">
        <w:rPr>
          <w:rFonts w:ascii="Century" w:hAnsi="Century" w:cs="Miriam"/>
          <w:b/>
          <w:spacing w:val="0"/>
          <w:szCs w:val="24"/>
          <w:rtl/>
        </w:rPr>
        <w:t xml:space="preserve">' </w:t>
      </w:r>
      <w:r w:rsidRPr="003E4F42">
        <w:rPr>
          <w:rFonts w:ascii="Century" w:hAnsi="Century" w:cs="Miriam" w:hint="eastAsia"/>
          <w:b/>
          <w:spacing w:val="0"/>
          <w:szCs w:val="24"/>
          <w:rtl/>
        </w:rPr>
        <w:t>שר</w:t>
      </w:r>
      <w:r w:rsidRPr="003E4F42">
        <w:rPr>
          <w:rFonts w:ascii="Century" w:hAnsi="Century" w:cs="Miriam"/>
          <w:b/>
          <w:spacing w:val="0"/>
          <w:szCs w:val="24"/>
          <w:rtl/>
        </w:rPr>
        <w:t xml:space="preserve"> </w:t>
      </w:r>
      <w:r w:rsidRPr="003E4F42">
        <w:rPr>
          <w:rFonts w:ascii="Century" w:hAnsi="Century" w:cs="Miriam" w:hint="eastAsia"/>
          <w:b/>
          <w:spacing w:val="0"/>
          <w:szCs w:val="24"/>
          <w:rtl/>
        </w:rPr>
        <w:t>הפנים</w:t>
      </w:r>
      <w:r w:rsidRPr="00472D88">
        <w:rPr>
          <w:rFonts w:ascii="Arial TUR" w:hAnsi="Arial TUR" w:hint="cs"/>
          <w:sz w:val="22"/>
          <w:rtl/>
        </w:rPr>
        <w:t>, פסקה 1 לחוות דעתי</w:t>
      </w:r>
      <w:r>
        <w:rPr>
          <w:rFonts w:hint="cs"/>
          <w:rtl/>
        </w:rPr>
        <w:t xml:space="preserve"> </w:t>
      </w:r>
      <w:r w:rsidRPr="003E4F42">
        <w:rPr>
          <w:rFonts w:hint="cs"/>
          <w:rtl/>
        </w:rPr>
        <w:t>(</w:t>
      </w:r>
      <w:r w:rsidRPr="003E4F42">
        <w:rPr>
          <w:rtl/>
        </w:rPr>
        <w:t>10.11.2008)</w:t>
      </w:r>
      <w:r>
        <w:rPr>
          <w:rFonts w:hint="cs"/>
          <w:rtl/>
        </w:rPr>
        <w:t xml:space="preserve"> (להלן: </w:t>
      </w:r>
      <w:r w:rsidRPr="004269A3">
        <w:rPr>
          <w:rFonts w:ascii="Century" w:hAnsi="Century" w:cs="Miriam" w:hint="cs"/>
          <w:b/>
          <w:spacing w:val="0"/>
          <w:szCs w:val="24"/>
          <w:rtl/>
        </w:rPr>
        <w:t>עניין לוינטל</w:t>
      </w:r>
      <w:r>
        <w:rPr>
          <w:rFonts w:hint="cs"/>
          <w:rtl/>
        </w:rPr>
        <w:t xml:space="preserve">); ראו גם: </w:t>
      </w:r>
      <w:r w:rsidRPr="003E4F42">
        <w:rPr>
          <w:rFonts w:hint="eastAsia"/>
          <w:rtl/>
        </w:rPr>
        <w:t>ישי</w:t>
      </w:r>
      <w:r w:rsidRPr="003E4F42">
        <w:rPr>
          <w:rtl/>
        </w:rPr>
        <w:t xml:space="preserve"> </w:t>
      </w:r>
      <w:r w:rsidRPr="003E4F42">
        <w:rPr>
          <w:rFonts w:hint="eastAsia"/>
          <w:rtl/>
        </w:rPr>
        <w:t>בלנק</w:t>
      </w:r>
      <w:r w:rsidRPr="003E4F42">
        <w:rPr>
          <w:rtl/>
        </w:rPr>
        <w:t xml:space="preserve"> "</w:t>
      </w:r>
      <w:r w:rsidRPr="003E4F42">
        <w:rPr>
          <w:rFonts w:hint="eastAsia"/>
          <w:rtl/>
        </w:rPr>
        <w:t>מקומו</w:t>
      </w:r>
      <w:r w:rsidRPr="003E4F42">
        <w:rPr>
          <w:rtl/>
        </w:rPr>
        <w:t xml:space="preserve"> </w:t>
      </w:r>
      <w:r w:rsidRPr="003E4F42">
        <w:rPr>
          <w:rFonts w:hint="eastAsia"/>
          <w:rtl/>
        </w:rPr>
        <w:t>של</w:t>
      </w:r>
      <w:r w:rsidRPr="003E4F42">
        <w:rPr>
          <w:rtl/>
        </w:rPr>
        <w:t xml:space="preserve"> </w:t>
      </w:r>
      <w:r w:rsidRPr="003E4F42">
        <w:rPr>
          <w:rFonts w:hint="eastAsia"/>
          <w:rtl/>
        </w:rPr>
        <w:t>ה</w:t>
      </w:r>
      <w:r w:rsidRPr="003E4F42">
        <w:rPr>
          <w:rtl/>
        </w:rPr>
        <w:t>'</w:t>
      </w:r>
      <w:r w:rsidRPr="003E4F42">
        <w:rPr>
          <w:rFonts w:hint="eastAsia"/>
          <w:rtl/>
        </w:rPr>
        <w:t>מקומי</w:t>
      </w:r>
      <w:r w:rsidRPr="003E4F42">
        <w:rPr>
          <w:rtl/>
        </w:rPr>
        <w:t xml:space="preserve">': </w:t>
      </w:r>
      <w:r w:rsidRPr="003E4F42">
        <w:rPr>
          <w:rFonts w:hint="eastAsia"/>
          <w:rtl/>
        </w:rPr>
        <w:t>משפט</w:t>
      </w:r>
      <w:r w:rsidRPr="003E4F42">
        <w:rPr>
          <w:rtl/>
        </w:rPr>
        <w:t xml:space="preserve"> </w:t>
      </w:r>
      <w:r w:rsidRPr="003E4F42">
        <w:rPr>
          <w:rFonts w:hint="eastAsia"/>
          <w:rtl/>
        </w:rPr>
        <w:t>השלטון</w:t>
      </w:r>
      <w:r w:rsidRPr="003E4F42">
        <w:rPr>
          <w:rtl/>
        </w:rPr>
        <w:t xml:space="preserve"> </w:t>
      </w:r>
      <w:r w:rsidRPr="003E4F42">
        <w:rPr>
          <w:rFonts w:hint="eastAsia"/>
          <w:rtl/>
        </w:rPr>
        <w:t>המקומי</w:t>
      </w:r>
      <w:r w:rsidRPr="003E4F42">
        <w:rPr>
          <w:rtl/>
        </w:rPr>
        <w:t xml:space="preserve">, </w:t>
      </w:r>
      <w:r w:rsidRPr="003E4F42">
        <w:rPr>
          <w:rFonts w:hint="eastAsia"/>
          <w:rtl/>
        </w:rPr>
        <w:t>ביזור</w:t>
      </w:r>
      <w:r w:rsidRPr="003E4F42">
        <w:rPr>
          <w:rtl/>
        </w:rPr>
        <w:t xml:space="preserve"> </w:t>
      </w:r>
      <w:r w:rsidRPr="003E4F42">
        <w:rPr>
          <w:rFonts w:hint="eastAsia"/>
          <w:rtl/>
        </w:rPr>
        <w:t>ואי</w:t>
      </w:r>
      <w:r w:rsidRPr="003E4F42">
        <w:rPr>
          <w:rtl/>
        </w:rPr>
        <w:t>-</w:t>
      </w:r>
      <w:r w:rsidRPr="003E4F42">
        <w:rPr>
          <w:rFonts w:hint="eastAsia"/>
          <w:rtl/>
        </w:rPr>
        <w:t>שוויון</w:t>
      </w:r>
      <w:r w:rsidRPr="003E4F42">
        <w:rPr>
          <w:rtl/>
        </w:rPr>
        <w:t xml:space="preserve"> </w:t>
      </w:r>
      <w:r w:rsidRPr="003E4F42">
        <w:rPr>
          <w:rFonts w:hint="eastAsia"/>
          <w:rtl/>
        </w:rPr>
        <w:t>מרחבי</w:t>
      </w:r>
      <w:r w:rsidRPr="003E4F42">
        <w:rPr>
          <w:rtl/>
        </w:rPr>
        <w:t xml:space="preserve"> </w:t>
      </w:r>
      <w:r w:rsidRPr="003E4F42">
        <w:rPr>
          <w:rFonts w:hint="eastAsia"/>
          <w:rtl/>
        </w:rPr>
        <w:t>בישראל</w:t>
      </w:r>
      <w:r w:rsidRPr="003E4F42">
        <w:rPr>
          <w:rtl/>
        </w:rPr>
        <w:t xml:space="preserve">" </w:t>
      </w:r>
      <w:r w:rsidRPr="003E4F42">
        <w:rPr>
          <w:rFonts w:ascii="Century" w:hAnsi="Century" w:cs="Miriam" w:hint="eastAsia"/>
          <w:b/>
          <w:spacing w:val="0"/>
          <w:szCs w:val="24"/>
          <w:rtl/>
        </w:rPr>
        <w:t>משפטים</w:t>
      </w:r>
      <w:r w:rsidRPr="003E4F42">
        <w:rPr>
          <w:rtl/>
        </w:rPr>
        <w:t xml:space="preserve"> </w:t>
      </w:r>
      <w:r w:rsidRPr="003E4F42">
        <w:rPr>
          <w:rFonts w:hint="eastAsia"/>
          <w:rtl/>
        </w:rPr>
        <w:t>לד</w:t>
      </w:r>
      <w:r w:rsidRPr="003E4F42">
        <w:rPr>
          <w:rFonts w:hint="cs"/>
          <w:rtl/>
        </w:rPr>
        <w:t>(2)</w:t>
      </w:r>
      <w:r>
        <w:rPr>
          <w:rtl/>
        </w:rPr>
        <w:t xml:space="preserve"> 197</w:t>
      </w:r>
      <w:r>
        <w:rPr>
          <w:rFonts w:hint="cs"/>
          <w:rtl/>
        </w:rPr>
        <w:t xml:space="preserve">, 211 </w:t>
      </w:r>
      <w:r w:rsidRPr="003E4F42">
        <w:rPr>
          <w:rtl/>
        </w:rPr>
        <w:t>(2004)</w:t>
      </w:r>
      <w:r>
        <w:rPr>
          <w:rFonts w:hint="cs"/>
          <w:rtl/>
        </w:rPr>
        <w:t xml:space="preserve">), אני סבורה כי מן הראוי להביא בחשבון היבטים אלה ולו במסגרת המהלך הפרשני הנוגע למועד תחולת התיקון נושא העתירה. </w:t>
      </w:r>
    </w:p>
    <w:p w:rsidR="00EB10CF" w:rsidRPr="00E113B4" w:rsidRDefault="00EB10CF" w:rsidP="00EB10CF">
      <w:pPr>
        <w:pStyle w:val="Ruller41"/>
        <w:rPr>
          <w:b/>
          <w:bCs/>
          <w:rtl/>
        </w:rPr>
      </w:pPr>
    </w:p>
    <w:p w:rsidR="00EB10CF" w:rsidRDefault="00EB10CF" w:rsidP="00EB10CF">
      <w:pPr>
        <w:pStyle w:val="Ruller4"/>
        <w:numPr>
          <w:ilvl w:val="0"/>
          <w:numId w:val="0"/>
        </w:numPr>
        <w:rPr>
          <w:rtl/>
        </w:rPr>
      </w:pPr>
      <w:r>
        <w:rPr>
          <w:rtl/>
        </w:rPr>
        <w:tab/>
      </w:r>
      <w:r>
        <w:rPr>
          <w:rFonts w:hint="cs"/>
          <w:rtl/>
        </w:rPr>
        <w:t>פרשנות לפיה התיקון לא יחול כבר במערכת הבחירות קרובה יש בה אומנם משום פגיעה בזכותו של יוסף להיבחר. ואולם, פרשנות הפוכה פוגעת בזכויותיהם של יתר המועמדים, ובפרט בשוויון סיכוייהם בבחירות, וזאת בין היתר בשים לב ליתרונות שמהם נהנה ראש ועדה ממונה (היעדר אופוזיציה, סיוע מהשלטון המרכזי ועוד; להרחבה ראו: פסקה 23 לחוות דעתו של חברי ממלא מקום הנשיא). באיזון שבין הפגיעות האמורות, אני סבורה כי</w:t>
      </w:r>
      <w:r w:rsidRPr="009F56F5">
        <w:rPr>
          <w:rFonts w:hint="cs"/>
          <w:rtl/>
        </w:rPr>
        <w:t xml:space="preserve"> </w:t>
      </w:r>
      <w:r>
        <w:rPr>
          <w:rFonts w:hint="cs"/>
          <w:rtl/>
        </w:rPr>
        <w:t xml:space="preserve">הפגיעה בזכויותיהם ובציפיותיהם הלגיטימיות של המועמדים האחרים כתוצאה מהחלת התיקון כבר בבחירות הקרובות, קשה לאין שיעור מהפגיעה שתיגרם ליוסף אם תימנע התמודדותו בבחירות אלה. זאת, בין היתר, משום שיוסף נכנס לתפקידו בידיעה כי הדין אינו מאפשר את התמודדותו, בעוד שאר המועמדים כלכלו את </w:t>
      </w:r>
      <w:r>
        <w:rPr>
          <w:rFonts w:hint="cs"/>
          <w:rtl/>
        </w:rPr>
        <w:lastRenderedPageBreak/>
        <w:t xml:space="preserve">צעדיהם על פי הנחת מוצא זו ואף שיתפו פעולה עמו בידיעה כי הוא אינו מהווה "איום פוליטי". </w:t>
      </w:r>
    </w:p>
    <w:p w:rsidR="00EB10CF" w:rsidRDefault="00EB10CF" w:rsidP="00EB10CF">
      <w:pPr>
        <w:pStyle w:val="Ruller41"/>
        <w:rPr>
          <w:rtl/>
        </w:rPr>
      </w:pPr>
    </w:p>
    <w:p w:rsidR="00EB10CF" w:rsidRDefault="00EB10CF" w:rsidP="00EB10CF">
      <w:pPr>
        <w:pStyle w:val="Ruller4"/>
      </w:pPr>
      <w:r>
        <w:rPr>
          <w:rFonts w:hint="cs"/>
          <w:rtl/>
        </w:rPr>
        <w:t xml:space="preserve">הערתי </w:t>
      </w:r>
      <w:r w:rsidRPr="00EF72A0">
        <w:rPr>
          <w:rFonts w:ascii="Century" w:hAnsi="Century" w:cs="Miriam" w:hint="cs"/>
          <w:b/>
          <w:spacing w:val="0"/>
          <w:sz w:val="22"/>
          <w:szCs w:val="24"/>
          <w:rtl/>
        </w:rPr>
        <w:t>השנייה</w:t>
      </w:r>
      <w:r w:rsidRPr="00EF72A0">
        <w:rPr>
          <w:rFonts w:hint="cs"/>
          <w:rtl/>
        </w:rPr>
        <w:t xml:space="preserve"> </w:t>
      </w:r>
      <w:r>
        <w:rPr>
          <w:rFonts w:hint="cs"/>
          <w:rtl/>
        </w:rPr>
        <w:t xml:space="preserve">נוגעת ל"שינוי כללי המשחק תוך כדי המשחק". בשורת פסקי דין עמד בית משפט זה על העיקרון לפיו </w:t>
      </w:r>
      <w:r w:rsidRPr="004E22CC">
        <w:rPr>
          <w:rFonts w:hint="cs"/>
          <w:rtl/>
        </w:rPr>
        <w:t xml:space="preserve">בכל הנוגע לבחירות יש לקבוע "כללי משחק עקביים", שלא ישתנו במהלך </w:t>
      </w:r>
      <w:r>
        <w:rPr>
          <w:rFonts w:hint="cs"/>
          <w:rtl/>
        </w:rPr>
        <w:t>תקופת</w:t>
      </w:r>
      <w:r w:rsidRPr="004E22CC">
        <w:rPr>
          <w:rFonts w:hint="cs"/>
          <w:rtl/>
        </w:rPr>
        <w:t xml:space="preserve"> הבחירות (בג"ץ 606/01 </w:t>
      </w:r>
      <w:r w:rsidRPr="004E22CC">
        <w:rPr>
          <w:rFonts w:ascii="Century" w:hAnsi="Century" w:cs="Miriam" w:hint="cs"/>
          <w:b/>
          <w:spacing w:val="0"/>
          <w:szCs w:val="24"/>
          <w:rtl/>
        </w:rPr>
        <w:t xml:space="preserve">ברקה נ' ועדת הבחירות המרכזית לכנסת ה-16 ולראש הממשלה, </w:t>
      </w:r>
      <w:r w:rsidRPr="004E22CC">
        <w:rPr>
          <w:rFonts w:ascii="Century" w:hAnsi="Century" w:hint="cs"/>
          <w:rtl/>
        </w:rPr>
        <w:t>פ"ד נה(2) 577, 580 (2001)</w:t>
      </w:r>
      <w:r w:rsidRPr="004E22CC">
        <w:rPr>
          <w:rFonts w:hint="cs"/>
          <w:rtl/>
        </w:rPr>
        <w:t xml:space="preserve">; ראו גם: בג"ץ 65/05 </w:t>
      </w:r>
      <w:r w:rsidRPr="004E22CC">
        <w:rPr>
          <w:rFonts w:ascii="Century" w:hAnsi="Century" w:cs="Miriam" w:hint="cs"/>
          <w:b/>
          <w:spacing w:val="0"/>
          <w:szCs w:val="24"/>
          <w:rtl/>
        </w:rPr>
        <w:t>מוסלח נ' ראש-ממשלת ישראל</w:t>
      </w:r>
      <w:r w:rsidRPr="004E22CC">
        <w:rPr>
          <w:rFonts w:ascii="Century" w:hAnsi="Century" w:hint="cs"/>
          <w:rtl/>
        </w:rPr>
        <w:t>, פ"ד נט(4) 553, 556 (2005)</w:t>
      </w:r>
      <w:r w:rsidRPr="004E22CC">
        <w:rPr>
          <w:rFonts w:hint="cs"/>
          <w:rtl/>
        </w:rPr>
        <w:t xml:space="preserve">; עניין </w:t>
      </w:r>
      <w:r w:rsidRPr="004E22CC">
        <w:rPr>
          <w:rFonts w:ascii="Century" w:hAnsi="Century" w:cs="Miriam" w:hint="cs"/>
          <w:b/>
          <w:spacing w:val="0"/>
          <w:sz w:val="22"/>
          <w:szCs w:val="24"/>
          <w:rtl/>
        </w:rPr>
        <w:t>לוינטל</w:t>
      </w:r>
      <w:r w:rsidRPr="004E22CC">
        <w:rPr>
          <w:rFonts w:hint="cs"/>
          <w:rtl/>
        </w:rPr>
        <w:t xml:space="preserve">, בפסקה 11 לפסק דינו של השופט </w:t>
      </w:r>
      <w:r w:rsidRPr="004E22CC">
        <w:rPr>
          <w:rFonts w:ascii="Century" w:hAnsi="Century" w:cs="Miriam" w:hint="cs"/>
          <w:b/>
          <w:spacing w:val="0"/>
          <w:sz w:val="22"/>
          <w:szCs w:val="24"/>
          <w:rtl/>
        </w:rPr>
        <w:t>י' דנציגר</w:t>
      </w:r>
      <w:r w:rsidRPr="004E22CC">
        <w:rPr>
          <w:rFonts w:hint="cs"/>
          <w:rtl/>
        </w:rPr>
        <w:t>). כל שינוי מהותי בכללי הבחירות בתקופה האמורה טומן בחובו סיכון לערעור הלגיטימציה של ההליך הדמוקרטי, ליציבותו</w:t>
      </w:r>
      <w:r>
        <w:rPr>
          <w:rFonts w:hint="cs"/>
          <w:rtl/>
        </w:rPr>
        <w:t xml:space="preserve"> של המארג החוקתי ולפגיעה של ממש בזכות לבחור ולהיבחר של גורמים שונים (ראו והשוו: </w:t>
      </w:r>
      <w:r w:rsidRPr="003E4F42">
        <w:rPr>
          <w:rFonts w:hint="cs"/>
          <w:rtl/>
        </w:rPr>
        <w:t xml:space="preserve">בג"ץ 2905/20 </w:t>
      </w:r>
      <w:r w:rsidRPr="003E4F42">
        <w:rPr>
          <w:rFonts w:ascii="Century" w:hAnsi="Century" w:cs="Miriam" w:hint="cs"/>
          <w:b/>
          <w:spacing w:val="0"/>
          <w:szCs w:val="24"/>
          <w:rtl/>
        </w:rPr>
        <w:t>התנועה למען איכות השלטון בישראל נ' הכנסת</w:t>
      </w:r>
      <w:r w:rsidRPr="003E4F42">
        <w:rPr>
          <w:rFonts w:ascii="Century" w:hAnsi="Century" w:hint="cs"/>
          <w:rtl/>
        </w:rPr>
        <w:t xml:space="preserve">, פסקה </w:t>
      </w:r>
      <w:r>
        <w:rPr>
          <w:rFonts w:ascii="Century" w:hAnsi="Century" w:hint="cs"/>
          <w:rtl/>
        </w:rPr>
        <w:t>16</w:t>
      </w:r>
      <w:r w:rsidRPr="003E4F42">
        <w:rPr>
          <w:rFonts w:ascii="Century" w:hAnsi="Century" w:hint="cs"/>
          <w:rtl/>
        </w:rPr>
        <w:t xml:space="preserve"> </w:t>
      </w:r>
      <w:r>
        <w:rPr>
          <w:rFonts w:ascii="Century" w:hAnsi="Century" w:hint="cs"/>
          <w:rtl/>
        </w:rPr>
        <w:t>לחוות דעתי</w:t>
      </w:r>
      <w:r w:rsidRPr="003E4F42">
        <w:rPr>
          <w:rFonts w:ascii="Century" w:hAnsi="Century" w:hint="cs"/>
          <w:rtl/>
        </w:rPr>
        <w:t xml:space="preserve"> (12.7.2021)</w:t>
      </w:r>
      <w:r>
        <w:rPr>
          <w:rFonts w:hint="cs"/>
          <w:rtl/>
        </w:rPr>
        <w:t>). חברי ממלא מקום הנשיא מציין כי אף אם היה</w:t>
      </w:r>
      <w:r w:rsidRPr="003E4F42">
        <w:rPr>
          <w:rFonts w:hint="cs"/>
          <w:rtl/>
        </w:rPr>
        <w:t xml:space="preserve"> מקבל את הטענה </w:t>
      </w:r>
      <w:r>
        <w:rPr>
          <w:rFonts w:hint="cs"/>
          <w:rtl/>
        </w:rPr>
        <w:t>שייתכנו</w:t>
      </w:r>
      <w:r w:rsidRPr="003E4F42">
        <w:rPr>
          <w:rFonts w:hint="cs"/>
          <w:rtl/>
        </w:rPr>
        <w:t xml:space="preserve"> שינויים בכללי הבחירות שניתן לבצע</w:t>
      </w:r>
      <w:r>
        <w:rPr>
          <w:rFonts w:hint="cs"/>
          <w:rtl/>
        </w:rPr>
        <w:t>ם</w:t>
      </w:r>
      <w:r w:rsidRPr="003E4F42">
        <w:rPr>
          <w:rFonts w:hint="cs"/>
          <w:rtl/>
        </w:rPr>
        <w:t xml:space="preserve"> </w:t>
      </w:r>
      <w:r>
        <w:rPr>
          <w:rFonts w:hint="cs"/>
          <w:rtl/>
        </w:rPr>
        <w:t xml:space="preserve">לאחר תחילת תקופת הבחירות </w:t>
      </w:r>
      <w:r>
        <w:rPr>
          <w:rtl/>
        </w:rPr>
        <w:t>–</w:t>
      </w:r>
      <w:r>
        <w:rPr>
          <w:rFonts w:hint="cs"/>
          <w:rtl/>
        </w:rPr>
        <w:t xml:space="preserve"> על טענה מסוג זה להישען</w:t>
      </w:r>
      <w:r w:rsidRPr="003E4F42">
        <w:rPr>
          <w:rFonts w:hint="cs"/>
          <w:rtl/>
        </w:rPr>
        <w:t xml:space="preserve"> </w:t>
      </w:r>
      <w:r>
        <w:rPr>
          <w:rFonts w:hint="cs"/>
          <w:rtl/>
        </w:rPr>
        <w:t>על תשתית עובדתית ומשפטית מתאימה, תוך המחשה כי</w:t>
      </w:r>
      <w:r w:rsidRPr="003E4F42">
        <w:rPr>
          <w:rFonts w:hint="cs"/>
          <w:rtl/>
        </w:rPr>
        <w:t xml:space="preserve"> </w:t>
      </w:r>
      <w:r>
        <w:rPr>
          <w:rFonts w:hint="cs"/>
          <w:rtl/>
        </w:rPr>
        <w:t>"</w:t>
      </w:r>
      <w:r w:rsidRPr="003E4F42">
        <w:rPr>
          <w:rFonts w:hint="cs"/>
          <w:rtl/>
        </w:rPr>
        <w:t>פעולות ההכנה לבחירות שכבר נערכו לא מושפעות (או מושפעות במידה מזערית) משינוי זה</w:t>
      </w:r>
      <w:r>
        <w:rPr>
          <w:rFonts w:hint="cs"/>
          <w:rtl/>
        </w:rPr>
        <w:t xml:space="preserve"> [...]". ולכך אוסיף כי אף אם תתקבל הטענה לפיה ייתכנו מצבים חריגים שבהם יתאפשר שינוי שולי או זניח בכללי הבחירות לאחר תחילת תקופת הבחירות, נקודת המוצא היא שאין לאפשר שינויים כאלה כל עוד קיים חשש להתממשות הסיכונים שצוינו לעיל. </w:t>
      </w:r>
    </w:p>
    <w:p w:rsidR="00EB10CF" w:rsidRDefault="00EB10CF" w:rsidP="00EB10CF">
      <w:pPr>
        <w:pStyle w:val="Ruller4"/>
        <w:numPr>
          <w:ilvl w:val="0"/>
          <w:numId w:val="0"/>
        </w:numPr>
        <w:rPr>
          <w:rtl/>
        </w:rPr>
      </w:pPr>
    </w:p>
    <w:p w:rsidR="00EB10CF" w:rsidRDefault="00EB10CF" w:rsidP="00EB10CF">
      <w:pPr>
        <w:pStyle w:val="Ruller4"/>
        <w:numPr>
          <w:ilvl w:val="0"/>
          <w:numId w:val="0"/>
        </w:numPr>
        <w:rPr>
          <w:rtl/>
        </w:rPr>
      </w:pPr>
      <w:r>
        <w:rPr>
          <w:rtl/>
        </w:rPr>
        <w:tab/>
      </w:r>
      <w:r>
        <w:rPr>
          <w:rFonts w:hint="cs"/>
          <w:rtl/>
        </w:rPr>
        <w:t xml:space="preserve">בענייננו, התיקון התקבל לאחר "היום הקובע" (4.6.2023), שבו נפתחה מערכת הבחירות, דהיינו </w:t>
      </w:r>
      <w:r>
        <w:rPr>
          <w:rtl/>
        </w:rPr>
        <w:t>–</w:t>
      </w:r>
      <w:r>
        <w:rPr>
          <w:rFonts w:hint="cs"/>
          <w:rtl/>
        </w:rPr>
        <w:t xml:space="preserve"> יום השליפה הראשונה של פנקס הבוחרים, בהתאם לקביעה בעניין </w:t>
      </w:r>
      <w:r w:rsidRPr="007D6819">
        <w:rPr>
          <w:rFonts w:ascii="Century" w:hAnsi="Century" w:cs="Miriam" w:hint="cs"/>
          <w:b/>
          <w:spacing w:val="0"/>
          <w:sz w:val="22"/>
          <w:szCs w:val="24"/>
          <w:rtl/>
        </w:rPr>
        <w:t>לוינטל</w:t>
      </w:r>
      <w:r>
        <w:rPr>
          <w:rFonts w:hint="cs"/>
          <w:rtl/>
        </w:rPr>
        <w:t xml:space="preserve">. כמו כן, ברי כי השינוי שאומץ במסגרת התיקון בענייננו איננו שולי או זניח, והוא נועד לאפשר את התמודדותו של יוסף בבחירות לראשות עיריית טבריה, תוך פגיעה משמעותית בזכות להיבחר ובשוויון הסיכויים של המועמדים האחרים. </w:t>
      </w:r>
    </w:p>
    <w:p w:rsidR="00EB10CF" w:rsidRDefault="00EB10CF" w:rsidP="00EB10CF">
      <w:pPr>
        <w:pStyle w:val="Ruller41"/>
        <w:rPr>
          <w:rtl/>
        </w:rPr>
      </w:pPr>
    </w:p>
    <w:p w:rsidR="00EB10CF" w:rsidRPr="0006740E" w:rsidRDefault="00EB10CF" w:rsidP="00EB10CF">
      <w:pPr>
        <w:pStyle w:val="Ruller4"/>
        <w:rPr>
          <w:rtl/>
        </w:rPr>
      </w:pPr>
      <w:r>
        <w:rPr>
          <w:rFonts w:hint="cs"/>
          <w:rtl/>
        </w:rPr>
        <w:t xml:space="preserve">משהצטרפתי לטעמיו ולמסקנותיו של חברי ממלא מקום הנשיא </w:t>
      </w:r>
      <w:r w:rsidRPr="0006740E">
        <w:rPr>
          <w:rFonts w:ascii="Century" w:hAnsi="Century" w:cs="Miriam" w:hint="cs"/>
          <w:b/>
          <w:spacing w:val="0"/>
          <w:sz w:val="22"/>
          <w:szCs w:val="24"/>
          <w:rtl/>
        </w:rPr>
        <w:t>פוגלמן</w:t>
      </w:r>
      <w:r>
        <w:rPr>
          <w:rFonts w:hint="cs"/>
          <w:rtl/>
        </w:rPr>
        <w:t xml:space="preserve">, המתבססים על כללי הפרשנות הנהוגים עמנו, לא ראיתי מקום להידרש לניתוח החלופי שמציע חברי השופט </w:t>
      </w:r>
      <w:r w:rsidRPr="00BE30A3">
        <w:rPr>
          <w:rFonts w:ascii="Century" w:hAnsi="Century" w:cs="Miriam" w:hint="cs"/>
          <w:b/>
          <w:spacing w:val="0"/>
          <w:sz w:val="22"/>
          <w:szCs w:val="24"/>
          <w:rtl/>
        </w:rPr>
        <w:t xml:space="preserve">א' </w:t>
      </w:r>
      <w:r w:rsidRPr="0006740E">
        <w:rPr>
          <w:rFonts w:ascii="Century" w:hAnsi="Century" w:cs="Miriam" w:hint="cs"/>
          <w:b/>
          <w:spacing w:val="0"/>
          <w:sz w:val="22"/>
          <w:szCs w:val="24"/>
          <w:rtl/>
        </w:rPr>
        <w:t>שטיין</w:t>
      </w:r>
      <w:r>
        <w:rPr>
          <w:rFonts w:hint="cs"/>
          <w:rtl/>
        </w:rPr>
        <w:t xml:space="preserve">. </w:t>
      </w:r>
    </w:p>
    <w:p w:rsidR="00EB10CF" w:rsidRPr="00610CDC" w:rsidRDefault="00EB10CF" w:rsidP="00EB10CF">
      <w:pPr>
        <w:pStyle w:val="Ruller41"/>
        <w:rPr>
          <w:rtl/>
        </w:rPr>
      </w:pPr>
    </w:p>
    <w:p w:rsidR="00EB10CF" w:rsidRDefault="00EB10CF" w:rsidP="00C97B4E">
      <w:pPr>
        <w:pStyle w:val="Ruller41"/>
        <w:rPr>
          <w:rtl/>
        </w:rPr>
      </w:pPr>
    </w:p>
    <w:tbl>
      <w:tblPr>
        <w:bidiVisual/>
        <w:tblW w:w="8363" w:type="dxa"/>
        <w:tblLook w:val="01E0" w:firstRow="1" w:lastRow="1" w:firstColumn="1" w:lastColumn="1" w:noHBand="0" w:noVBand="0"/>
      </w:tblPr>
      <w:tblGrid>
        <w:gridCol w:w="2783"/>
        <w:gridCol w:w="2797"/>
        <w:gridCol w:w="2783"/>
      </w:tblGrid>
      <w:tr w:rsidR="00C97B4E" w:rsidRPr="00267280" w:rsidTr="002A0D41">
        <w:tc>
          <w:tcPr>
            <w:tcW w:w="2783" w:type="dxa"/>
            <w:shd w:val="clear" w:color="auto" w:fill="auto"/>
          </w:tcPr>
          <w:p w:rsidR="00C97B4E" w:rsidRPr="00267280" w:rsidRDefault="00C97B4E" w:rsidP="002A0D41">
            <w:pPr>
              <w:pStyle w:val="Ruller41"/>
              <w:jc w:val="center"/>
              <w:rPr>
                <w:rtl/>
              </w:rPr>
            </w:pPr>
          </w:p>
        </w:tc>
        <w:tc>
          <w:tcPr>
            <w:tcW w:w="2797" w:type="dxa"/>
            <w:shd w:val="clear" w:color="auto" w:fill="auto"/>
          </w:tcPr>
          <w:p w:rsidR="00C97B4E" w:rsidRPr="00267280" w:rsidRDefault="00C97B4E" w:rsidP="002A0D41">
            <w:pPr>
              <w:pStyle w:val="Ruller41"/>
              <w:jc w:val="center"/>
              <w:rPr>
                <w:rtl/>
              </w:rPr>
            </w:pPr>
          </w:p>
        </w:tc>
        <w:tc>
          <w:tcPr>
            <w:tcW w:w="2783" w:type="dxa"/>
            <w:shd w:val="clear" w:color="auto" w:fill="auto"/>
          </w:tcPr>
          <w:p w:rsidR="00C97B4E" w:rsidRPr="00267280" w:rsidRDefault="00C97B4E" w:rsidP="002A0D41">
            <w:pPr>
              <w:pStyle w:val="Ruller41"/>
              <w:jc w:val="right"/>
              <w:rPr>
                <w:rtl/>
              </w:rPr>
            </w:pPr>
            <w:r>
              <w:rPr>
                <w:rFonts w:hint="cs"/>
                <w:rtl/>
              </w:rPr>
              <w:t>ה נ ש י א ה (בדימ')</w:t>
            </w:r>
          </w:p>
        </w:tc>
      </w:tr>
    </w:tbl>
    <w:p w:rsidR="00A10BDB" w:rsidRDefault="00A10BDB" w:rsidP="00C97B4E">
      <w:pPr>
        <w:pStyle w:val="Ruller41"/>
        <w:rPr>
          <w:rtl/>
        </w:rPr>
      </w:pPr>
    </w:p>
    <w:p w:rsidR="00A10BDB" w:rsidRDefault="00A10BDB" w:rsidP="00C97B4E">
      <w:pPr>
        <w:pStyle w:val="Ruller41"/>
        <w:rPr>
          <w:rtl/>
        </w:rPr>
      </w:pPr>
    </w:p>
    <w:p w:rsidR="00C97B4E" w:rsidRPr="00D57E3F" w:rsidRDefault="00C97B4E" w:rsidP="00C97B4E">
      <w:pPr>
        <w:pStyle w:val="Ruller41"/>
        <w:rPr>
          <w:rFonts w:ascii="Century" w:hAnsi="Century" w:cs="Miriam"/>
          <w:b/>
          <w:spacing w:val="0"/>
          <w:szCs w:val="24"/>
          <w:rtl/>
        </w:rPr>
      </w:pPr>
      <w:r w:rsidRPr="00D57E3F">
        <w:rPr>
          <w:rFonts w:ascii="Century" w:hAnsi="Century" w:cs="Miriam" w:hint="cs"/>
          <w:b/>
          <w:spacing w:val="0"/>
          <w:szCs w:val="24"/>
          <w:u w:val="single"/>
          <w:rtl/>
        </w:rPr>
        <w:lastRenderedPageBreak/>
        <w:t>השופט</w:t>
      </w:r>
      <w:r>
        <w:rPr>
          <w:rFonts w:ascii="Century" w:hAnsi="Century" w:cs="Miriam" w:hint="cs"/>
          <w:b/>
          <w:spacing w:val="0"/>
          <w:szCs w:val="24"/>
          <w:u w:val="single"/>
          <w:rtl/>
        </w:rPr>
        <w:t>ת</w:t>
      </w:r>
      <w:r w:rsidRPr="00D57E3F">
        <w:rPr>
          <w:rFonts w:ascii="Century" w:hAnsi="Century" w:cs="Miriam" w:hint="cs"/>
          <w:b/>
          <w:spacing w:val="0"/>
          <w:szCs w:val="24"/>
          <w:u w:val="single"/>
          <w:rtl/>
        </w:rPr>
        <w:t xml:space="preserve"> </w:t>
      </w:r>
      <w:r w:rsidR="00002C55">
        <w:rPr>
          <w:rFonts w:ascii="Century" w:hAnsi="Century" w:cs="Miriam" w:hint="cs"/>
          <w:b/>
          <w:spacing w:val="0"/>
          <w:szCs w:val="24"/>
          <w:u w:val="single"/>
          <w:rtl/>
        </w:rPr>
        <w:t xml:space="preserve">(בדימ') </w:t>
      </w:r>
      <w:r>
        <w:rPr>
          <w:rFonts w:ascii="Century" w:hAnsi="Century" w:cs="Miriam" w:hint="cs"/>
          <w:b/>
          <w:spacing w:val="0"/>
          <w:szCs w:val="24"/>
          <w:u w:val="single"/>
          <w:rtl/>
        </w:rPr>
        <w:t>ע</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ברון</w:t>
      </w:r>
      <w:r>
        <w:rPr>
          <w:rFonts w:ascii="Century" w:hAnsi="Century" w:cs="Miriam" w:hint="cs"/>
          <w:b/>
          <w:spacing w:val="0"/>
          <w:szCs w:val="24"/>
          <w:rtl/>
        </w:rPr>
        <w:t>:</w:t>
      </w:r>
    </w:p>
    <w:p w:rsidR="00C97B4E" w:rsidRDefault="00C97B4E" w:rsidP="00C97B4E">
      <w:pPr>
        <w:pStyle w:val="Ruller41"/>
        <w:rPr>
          <w:rtl/>
        </w:rPr>
      </w:pPr>
    </w:p>
    <w:p w:rsidR="000E48FB" w:rsidRDefault="000E48FB" w:rsidP="000E48FB">
      <w:pPr>
        <w:pStyle w:val="Ruller41"/>
        <w:rPr>
          <w:highlight w:val="yellow"/>
          <w:rtl/>
        </w:rPr>
      </w:pPr>
      <w:r>
        <w:rPr>
          <w:rFonts w:hint="cs"/>
          <w:rtl/>
        </w:rPr>
        <w:t>1.</w:t>
      </w:r>
      <w:r>
        <w:rPr>
          <w:rFonts w:hint="cs"/>
          <w:rtl/>
        </w:rPr>
        <w:tab/>
        <w:t xml:space="preserve">אני מסכימה לפסק דינו של חברי ממלא מקום הנשיא </w:t>
      </w:r>
      <w:r w:rsidRPr="00D415C4">
        <w:rPr>
          <w:rFonts w:ascii="Century" w:hAnsi="Century" w:cs="Miriam" w:hint="cs"/>
          <w:b/>
          <w:spacing w:val="0"/>
          <w:szCs w:val="24"/>
          <w:rtl/>
        </w:rPr>
        <w:t>ע</w:t>
      </w:r>
      <w:r>
        <w:rPr>
          <w:rFonts w:ascii="Century" w:hAnsi="Century" w:cs="Miriam" w:hint="cs"/>
          <w:b/>
          <w:spacing w:val="0"/>
          <w:szCs w:val="24"/>
          <w:rtl/>
        </w:rPr>
        <w:t>וזי</w:t>
      </w:r>
      <w:r w:rsidRPr="00D415C4">
        <w:rPr>
          <w:rFonts w:ascii="Century" w:hAnsi="Century" w:cs="Miriam" w:hint="cs"/>
          <w:b/>
          <w:spacing w:val="0"/>
          <w:szCs w:val="24"/>
          <w:rtl/>
        </w:rPr>
        <w:t xml:space="preserve"> פוגלמן</w:t>
      </w:r>
      <w:r>
        <w:rPr>
          <w:rFonts w:hint="cs"/>
          <w:rtl/>
        </w:rPr>
        <w:t xml:space="preserve"> על טעמיו, ולקביעתו שלפיה יש להעדיף את התכלית האובייקטיבית של תיקון מספר 53 לחוק הרשויות המקומיות (בחירות), התשכ"ה-1965 (להלן: </w:t>
      </w:r>
      <w:r w:rsidRPr="00CA63E1">
        <w:rPr>
          <w:rFonts w:ascii="Century" w:hAnsi="Century" w:cs="Miriam" w:hint="cs"/>
          <w:b/>
          <w:spacing w:val="0"/>
          <w:szCs w:val="24"/>
          <w:rtl/>
        </w:rPr>
        <w:t xml:space="preserve">תיקון מס' 53 </w:t>
      </w:r>
      <w:r w:rsidRPr="00CA63E1">
        <w:rPr>
          <w:rFonts w:ascii="Century" w:hAnsi="Century" w:hint="cs"/>
          <w:rtl/>
        </w:rPr>
        <w:t xml:space="preserve">או </w:t>
      </w:r>
      <w:r w:rsidRPr="00CA63E1">
        <w:rPr>
          <w:rFonts w:ascii="Century" w:hAnsi="Century" w:cs="Miriam" w:hint="cs"/>
          <w:b/>
          <w:spacing w:val="0"/>
          <w:szCs w:val="24"/>
          <w:rtl/>
        </w:rPr>
        <w:t>התיקון</w:t>
      </w:r>
      <w:r w:rsidRPr="00CA63E1">
        <w:rPr>
          <w:rFonts w:ascii="Century" w:hAnsi="Century" w:hint="cs"/>
          <w:rtl/>
        </w:rPr>
        <w:t>,</w:t>
      </w:r>
      <w:r w:rsidRPr="00CA63E1">
        <w:rPr>
          <w:rFonts w:hint="cs"/>
          <w:rtl/>
        </w:rPr>
        <w:t xml:space="preserve"> ו-</w:t>
      </w:r>
      <w:r w:rsidRPr="00CA63E1">
        <w:rPr>
          <w:rFonts w:ascii="Century" w:hAnsi="Century" w:cs="Miriam" w:hint="cs"/>
          <w:b/>
          <w:spacing w:val="0"/>
          <w:szCs w:val="24"/>
          <w:rtl/>
        </w:rPr>
        <w:t>חוק הבחירות</w:t>
      </w:r>
      <w:r w:rsidRPr="00CA63E1">
        <w:rPr>
          <w:rFonts w:hint="cs"/>
          <w:rtl/>
        </w:rPr>
        <w:t>, בהתאמה); ולפרש את התיקון כך שהוראותיו לא יחולו על הבחירות הקרובות לרשויות המקומיות ש</w:t>
      </w:r>
      <w:r>
        <w:rPr>
          <w:rFonts w:hint="cs"/>
          <w:rtl/>
        </w:rPr>
        <w:t>היו אמורות להתקיים ביום 31.10.2023, ובינתיים נדחו ליום 30.1.2024.</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2.</w:t>
      </w:r>
      <w:r>
        <w:rPr>
          <w:rtl/>
        </w:rPr>
        <w:tab/>
      </w:r>
      <w:r>
        <w:rPr>
          <w:rFonts w:hint="cs"/>
          <w:rtl/>
        </w:rPr>
        <w:t>הפרשנות המוצעת על ידי חברי נותנת מענה לשלוש מן "המכות" שבהן לקה תיקון מס' 53:</w:t>
      </w:r>
      <w:r w:rsidRPr="00904173">
        <w:rPr>
          <w:rFonts w:ascii="Century" w:hAnsi="Century" w:hint="cs"/>
          <w:rtl/>
        </w:rPr>
        <w:t xml:space="preserve"> </w:t>
      </w:r>
      <w:r>
        <w:rPr>
          <w:rFonts w:ascii="Century" w:hAnsi="Century" w:hint="cs"/>
          <w:rtl/>
        </w:rPr>
        <w:t xml:space="preserve">האחת, </w:t>
      </w:r>
      <w:r>
        <w:rPr>
          <w:rFonts w:hint="cs"/>
          <w:rtl/>
        </w:rPr>
        <w:t xml:space="preserve">אופיו </w:t>
      </w:r>
      <w:r w:rsidRPr="00904173">
        <w:rPr>
          <w:rFonts w:ascii="Century" w:hAnsi="Century" w:cs="Miriam" w:hint="cs"/>
          <w:b/>
          <w:spacing w:val="0"/>
          <w:szCs w:val="24"/>
          <w:rtl/>
        </w:rPr>
        <w:t>הפרסונלי</w:t>
      </w:r>
      <w:r>
        <w:rPr>
          <w:rFonts w:hint="cs"/>
          <w:rtl/>
        </w:rPr>
        <w:t xml:space="preserve"> של התיקון, שנועד להכשיר את התמודדותו של מר בועז יוסף (להלן: </w:t>
      </w:r>
      <w:r w:rsidRPr="00BF13FC">
        <w:rPr>
          <w:rFonts w:ascii="Century" w:hAnsi="Century" w:cs="Miriam" w:hint="cs"/>
          <w:b/>
          <w:spacing w:val="0"/>
          <w:szCs w:val="24"/>
          <w:rtl/>
        </w:rPr>
        <w:t>יוסף</w:t>
      </w:r>
      <w:r>
        <w:rPr>
          <w:rFonts w:hint="cs"/>
          <w:rtl/>
        </w:rPr>
        <w:t xml:space="preserve">) בבחירות הקרובות לראשות עיריית טבריה. </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השנייה, העובדה שיש בהחלה מיידית של התיקון משום "</w:t>
      </w:r>
      <w:r w:rsidRPr="00904173">
        <w:rPr>
          <w:rFonts w:ascii="Century" w:hAnsi="Century" w:cs="Miriam" w:hint="cs"/>
          <w:b/>
          <w:spacing w:val="0"/>
          <w:szCs w:val="24"/>
          <w:rtl/>
        </w:rPr>
        <w:t>שינוי של כללי המשחק תוך כדי משחק</w:t>
      </w:r>
      <w:r>
        <w:rPr>
          <w:rFonts w:hint="cs"/>
          <w:rtl/>
        </w:rPr>
        <w:t xml:space="preserve">", שבא לידי ביטוי בשינוי כללי הכשירות של המועמדים לאחר "היום הקובע" לפתיחת מערכת הבחירות לרשויות המקומיות </w:t>
      </w:r>
      <w:r>
        <w:rPr>
          <w:rtl/>
        </w:rPr>
        <w:t>–</w:t>
      </w:r>
      <w:r>
        <w:rPr>
          <w:rFonts w:hint="cs"/>
          <w:rtl/>
        </w:rPr>
        <w:t xml:space="preserve"> הוא יום השליפה הראשונה של פנקס הבוחרים בהתאם לקביעה ב-בג"ץ 7181/08 </w:t>
      </w:r>
      <w:r w:rsidRPr="0057098C">
        <w:rPr>
          <w:rFonts w:ascii="Century" w:hAnsi="Century" w:cs="Miriam" w:hint="cs"/>
          <w:b/>
          <w:spacing w:val="0"/>
          <w:szCs w:val="24"/>
          <w:rtl/>
        </w:rPr>
        <w:t>לוינטל נ' שר הפנים</w:t>
      </w:r>
      <w:r>
        <w:rPr>
          <w:rFonts w:hint="cs"/>
          <w:rtl/>
        </w:rPr>
        <w:t xml:space="preserve">, פסקה 12 (10.11.2008) (להלן: </w:t>
      </w:r>
      <w:r>
        <w:rPr>
          <w:rFonts w:ascii="Century" w:hAnsi="Century" w:cs="Miriam" w:hint="cs"/>
          <w:b/>
          <w:spacing w:val="0"/>
          <w:szCs w:val="24"/>
          <w:rtl/>
        </w:rPr>
        <w:t>היום הקובע</w:t>
      </w:r>
      <w:r>
        <w:rPr>
          <w:rFonts w:hint="cs"/>
          <w:rtl/>
        </w:rPr>
        <w:t>). התיקון מנסה להשיב לאחור את "רכבת הבחירות" שכבר יצאה מהתחנה, ולאפשר את ההתמודדות של מי שלא היה ולא יכול היה להיות שחקן קודם לכן, בהיותו ראש ועדה ממונה.</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 xml:space="preserve">המכה השלישית טמונה בהחלה המיידית של תיקון מס' 53 ונובעת מהמימד </w:t>
      </w:r>
      <w:r w:rsidRPr="0057098C">
        <w:rPr>
          <w:rFonts w:ascii="Century" w:hAnsi="Century" w:cs="Miriam" w:hint="cs"/>
          <w:b/>
          <w:spacing w:val="0"/>
          <w:szCs w:val="24"/>
          <w:rtl/>
        </w:rPr>
        <w:t>ה</w:t>
      </w:r>
      <w:r w:rsidRPr="00904173">
        <w:rPr>
          <w:rFonts w:ascii="Century" w:hAnsi="Century" w:cs="Miriam" w:hint="cs"/>
          <w:b/>
          <w:spacing w:val="0"/>
          <w:szCs w:val="24"/>
          <w:rtl/>
        </w:rPr>
        <w:t>רטרוספקטיבי</w:t>
      </w:r>
      <w:r>
        <w:rPr>
          <w:rFonts w:hint="cs"/>
          <w:rtl/>
        </w:rPr>
        <w:t xml:space="preserve"> שבו </w:t>
      </w:r>
      <w:r>
        <w:rPr>
          <w:rtl/>
        </w:rPr>
        <w:t>–</w:t>
      </w:r>
      <w:r>
        <w:rPr>
          <w:rFonts w:hint="cs"/>
          <w:rtl/>
        </w:rPr>
        <w:t xml:space="preserve"> העובדה שיש בתיקון כדי לשנות את התוצאות המשפטיות של פעולות ואירועים שהתרחשו </w:t>
      </w:r>
      <w:r w:rsidRPr="00EE665A">
        <w:rPr>
          <w:rFonts w:hint="cs"/>
          <w:rtl/>
        </w:rPr>
        <w:t xml:space="preserve">בעבר (ראו: </w:t>
      </w:r>
      <w:r w:rsidRPr="00EE665A">
        <w:rPr>
          <w:rFonts w:hint="eastAsia"/>
          <w:rtl/>
        </w:rPr>
        <w:t>ע</w:t>
      </w:r>
      <w:r w:rsidRPr="00EE665A">
        <w:rPr>
          <w:rFonts w:hint="cs"/>
          <w:rtl/>
        </w:rPr>
        <w:t>"</w:t>
      </w:r>
      <w:r w:rsidRPr="00EE665A">
        <w:rPr>
          <w:rFonts w:hint="eastAsia"/>
          <w:rtl/>
        </w:rPr>
        <w:t>א</w:t>
      </w:r>
      <w:r w:rsidRPr="00EE665A">
        <w:rPr>
          <w:rtl/>
        </w:rPr>
        <w:t xml:space="preserve"> 1013/15 ‏</w:t>
      </w:r>
      <w:r w:rsidRPr="00EE665A">
        <w:rPr>
          <w:rFonts w:ascii="Century" w:hAnsi="Century" w:cs="Miriam" w:hint="eastAsia"/>
          <w:b/>
          <w:spacing w:val="0"/>
          <w:szCs w:val="24"/>
          <w:rtl/>
        </w:rPr>
        <w:t>מדינת</w:t>
      </w:r>
      <w:r w:rsidRPr="00EE665A">
        <w:rPr>
          <w:rFonts w:ascii="Century" w:hAnsi="Century" w:cs="Miriam"/>
          <w:b/>
          <w:spacing w:val="0"/>
          <w:szCs w:val="24"/>
          <w:rtl/>
        </w:rPr>
        <w:t xml:space="preserve"> </w:t>
      </w:r>
      <w:r w:rsidRPr="00EE665A">
        <w:rPr>
          <w:rFonts w:ascii="Century" w:hAnsi="Century" w:cs="Miriam" w:hint="eastAsia"/>
          <w:b/>
          <w:spacing w:val="0"/>
          <w:szCs w:val="24"/>
          <w:rtl/>
        </w:rPr>
        <w:t>ישראל</w:t>
      </w:r>
      <w:r w:rsidRPr="00EE665A">
        <w:rPr>
          <w:rFonts w:ascii="Century" w:hAnsi="Century" w:cs="Miriam"/>
          <w:b/>
          <w:spacing w:val="0"/>
          <w:szCs w:val="24"/>
          <w:rtl/>
        </w:rPr>
        <w:t xml:space="preserve"> </w:t>
      </w:r>
      <w:r w:rsidRPr="00EE665A">
        <w:rPr>
          <w:rFonts w:ascii="Century" w:hAnsi="Century" w:cs="Miriam" w:hint="eastAsia"/>
          <w:b/>
          <w:spacing w:val="0"/>
          <w:szCs w:val="24"/>
          <w:rtl/>
        </w:rPr>
        <w:t>נ</w:t>
      </w:r>
      <w:r w:rsidRPr="00EE665A">
        <w:rPr>
          <w:rFonts w:ascii="Century" w:hAnsi="Century" w:cs="Miriam"/>
          <w:b/>
          <w:spacing w:val="0"/>
          <w:szCs w:val="24"/>
          <w:rtl/>
        </w:rPr>
        <w:t xml:space="preserve">' </w:t>
      </w:r>
      <w:r w:rsidRPr="00EE665A">
        <w:rPr>
          <w:rFonts w:ascii="Century" w:hAnsi="Century" w:cs="Miriam" w:hint="eastAsia"/>
          <w:b/>
          <w:spacing w:val="0"/>
          <w:szCs w:val="24"/>
          <w:rtl/>
        </w:rPr>
        <w:t>מלול</w:t>
      </w:r>
      <w:r w:rsidRPr="00EE665A">
        <w:rPr>
          <w:rFonts w:hint="cs"/>
          <w:rtl/>
        </w:rPr>
        <w:t xml:space="preserve">, פסקה 13 (1.11.2016)). קביעה כי התיקון הוא בעל תחולה מיידית יוצרת השלכות רטרוספקטיביות בשני מובנים: שינוי </w:t>
      </w:r>
      <w:r>
        <w:rPr>
          <w:rFonts w:hint="cs"/>
          <w:rtl/>
        </w:rPr>
        <w:t>סטטוס הכשירות</w:t>
      </w:r>
      <w:r w:rsidRPr="00EE665A">
        <w:rPr>
          <w:rFonts w:hint="cs"/>
          <w:rtl/>
        </w:rPr>
        <w:t xml:space="preserve"> להתמודדות של ראשי הוועדות הממונות ברשויות המקומיות שבהן עתידות להתקיים</w:t>
      </w:r>
      <w:r>
        <w:rPr>
          <w:rFonts w:hint="cs"/>
          <w:rtl/>
        </w:rPr>
        <w:t xml:space="preserve"> בחירות </w:t>
      </w:r>
      <w:r>
        <w:rPr>
          <w:rtl/>
        </w:rPr>
        <w:t>–</w:t>
      </w:r>
      <w:r>
        <w:rPr>
          <w:rFonts w:hint="cs"/>
          <w:rtl/>
        </w:rPr>
        <w:t xml:space="preserve"> כאשר בעת המינוי קמה לראשי הוועדות מניעות מהתמודדות בבחירות, והחלה מיידית של התיקון תבטל את המניעות בדיעבד (יובהר כי התיקון ביטל גם את המניעות שחלה על חברי ועדות ממונות, אך מכיוון שהנושא לא עמד במוקד הדיון שהתקיים לפנינו, אתמקד בראשי ועדות ממונות). נוסף על כך, נוצר </w:t>
      </w:r>
      <w:r>
        <w:rPr>
          <w:rFonts w:ascii="FrankRuehl" w:hAnsi="FrankRuehl"/>
          <w:color w:val="000000"/>
          <w:sz w:val="28"/>
          <w:rtl/>
        </w:rPr>
        <w:t>רִיק</w:t>
      </w:r>
      <w:r>
        <w:rPr>
          <w:rFonts w:hint="cs"/>
          <w:rtl/>
        </w:rPr>
        <w:t xml:space="preserve"> חקיקתי ביחס לדיני התעמולה שיחולו על מועמדים שכיהנו בוועדות הממונות, שעליו אעמוד בהמשך.</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3.</w:t>
      </w:r>
      <w:r>
        <w:rPr>
          <w:rtl/>
        </w:rPr>
        <w:tab/>
      </w:r>
      <w:r>
        <w:rPr>
          <w:rFonts w:hint="cs"/>
          <w:rtl/>
        </w:rPr>
        <w:t xml:space="preserve">משקלם המצטבר של פגמים אלה פוגע פגיעה קשה בשוויון בין המועמדים בבחירות בטבריה, זאת בין היתר בהתחשב ביתרון המובנה שממנו נהנה ראש ועדה </w:t>
      </w:r>
      <w:r>
        <w:rPr>
          <w:rFonts w:hint="cs"/>
          <w:rtl/>
        </w:rPr>
        <w:lastRenderedPageBreak/>
        <w:t xml:space="preserve">ממונה "המוצנח" לפתע כמועמד בבחירות לרשות המקומית עקב התיקון. יצוין כי המאפיינים המייחדים את עבודתו של ראש ועדה ממונה, שממלא את תפקידו בהיעדר כפיפות לשיקולים פוליטיים ולשבט ביקורתה של אופוזיציה במועצת העיר או במועצה המקומית, מצטרפים ליתרונות המשמעותיים שמהם נהנה כל מועמד שמגיע לבחירות מעמדת </w:t>
      </w:r>
      <w:r w:rsidRPr="003E4F42">
        <w:rPr>
          <w:rFonts w:hint="cs"/>
          <w:rtl/>
        </w:rPr>
        <w:t>הנהגה של הרשות המקומית</w:t>
      </w:r>
      <w:r>
        <w:rPr>
          <w:rFonts w:hint="cs"/>
          <w:rtl/>
        </w:rPr>
        <w:t xml:space="preserve"> (ראו בפסקה 24 לחוות דעתו של </w:t>
      </w:r>
      <w:r>
        <w:rPr>
          <w:rFonts w:ascii="Century" w:hAnsi="Century" w:cs="Miriam" w:hint="cs"/>
          <w:b/>
          <w:spacing w:val="0"/>
          <w:szCs w:val="24"/>
          <w:rtl/>
        </w:rPr>
        <w:t>מ"מ הנשיא</w:t>
      </w:r>
      <w:r>
        <w:rPr>
          <w:rFonts w:hint="cs"/>
          <w:rtl/>
        </w:rPr>
        <w:t xml:space="preserve">). </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ab/>
        <w:t>שינוי כללי הכשירות, שהם לענייננו "</w:t>
      </w:r>
      <w:r w:rsidRPr="00F92EBB">
        <w:rPr>
          <w:rFonts w:ascii="Century" w:hAnsi="Century" w:cs="Miriam" w:hint="cs"/>
          <w:b/>
          <w:spacing w:val="0"/>
          <w:szCs w:val="24"/>
          <w:rtl/>
        </w:rPr>
        <w:t>כללי המשחק</w:t>
      </w:r>
      <w:r>
        <w:rPr>
          <w:rFonts w:hint="cs"/>
          <w:rtl/>
        </w:rPr>
        <w:t xml:space="preserve">", תוך כדי המשחק </w:t>
      </w:r>
      <w:r>
        <w:rPr>
          <w:rtl/>
        </w:rPr>
        <w:t>–</w:t>
      </w:r>
      <w:r>
        <w:rPr>
          <w:rFonts w:hint="cs"/>
          <w:rtl/>
        </w:rPr>
        <w:t xml:space="preserve"> דהיינו, לאחר היום הקובע שבו מערכת הבחירות יצאה לדרך </w:t>
      </w:r>
      <w:r>
        <w:rPr>
          <w:rtl/>
        </w:rPr>
        <w:t>–</w:t>
      </w:r>
      <w:r>
        <w:rPr>
          <w:rFonts w:hint="cs"/>
          <w:rtl/>
        </w:rPr>
        <w:t xml:space="preserve"> פוגע אף בהסתמכות הסבירה של המועמדים, בעת שקיבלו את ההחלטה להתמודד בבחירות, על כך שיוסף מנוע מבחינה חוקית מהתמודדות. יצוין אגב כך כי מועמדים שעותרים בעתירות שלפנינו, גם מי שביקש להצטרף להליך, טענו כי נטלו על עצמם התחייבויות כספיות שונות לצורך ריצה בבחירות, על בסיס הערכת סיכוייהם במצב שבו יוסף איננו מהווה "איום" פוליטי; זאת בעוד יוסף נטל על עצמו את המינוי לוועדה הממונה בידיעה שלא יוכל להתמודד בבחירות הראשונות שייערכו לאחריו, ומבלי שהייתה לו סיבה טובה לצפות לשינוי במצב דברים זה.</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4.</w:t>
      </w:r>
      <w:r>
        <w:rPr>
          <w:rtl/>
        </w:rPr>
        <w:tab/>
      </w:r>
      <w:r>
        <w:rPr>
          <w:rFonts w:hint="cs"/>
          <w:rtl/>
        </w:rPr>
        <w:t>זאת ועוד. לשינוי כללי הבחירות במהלך תקופת הבחירות, לצורך פרסונלי ובאופן רטרוספקטיבי, עלולות להיות השלכות שליליות החורגות מהמעגל המצומצם של המתמודדים לראשות עיריית טברי</w:t>
      </w:r>
      <w:r w:rsidRPr="00904C7D">
        <w:rPr>
          <w:rFonts w:hint="cs"/>
          <w:rtl/>
        </w:rPr>
        <w:t>ה.</w:t>
      </w:r>
      <w:r>
        <w:rPr>
          <w:rFonts w:hint="cs"/>
          <w:rtl/>
        </w:rPr>
        <w:t xml:space="preserve"> פעולות שעשה יוסף כראש הוועדה הממונה בטבריה, ולא נבחנו בזמן אמת במשקפיים ביקורתיים כפעולות של מי שיבקש ביום מן הימים להעמיד את עצמו לבחירה לראשות העיר, עשויות "להיצבע" מחדש ולהתברר כתעמולת בחירות אסורה, מבלי שניתן יהיה להחזיר את הגלגל לאחור. </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 xml:space="preserve">תיקון מס' 53 יצר </w:t>
      </w:r>
      <w:r>
        <w:rPr>
          <w:rFonts w:ascii="FrankRuehl" w:hAnsi="FrankRuehl"/>
          <w:color w:val="000000"/>
          <w:sz w:val="28"/>
          <w:rtl/>
        </w:rPr>
        <w:t>רִיק</w:t>
      </w:r>
      <w:r>
        <w:rPr>
          <w:rFonts w:ascii="FrankRuehl" w:hAnsi="FrankRuehl" w:hint="cs"/>
          <w:color w:val="000000"/>
          <w:sz w:val="28"/>
          <w:rtl/>
        </w:rPr>
        <w:t xml:space="preserve"> חקיקתי בנוגע לתחולה של </w:t>
      </w:r>
      <w:r>
        <w:rPr>
          <w:rFonts w:hint="cs"/>
          <w:rtl/>
        </w:rPr>
        <w:t xml:space="preserve">דיני התעמולה על מועמדים שהם ראשי ועדות ממונות. בפרט יצוין כי בסעיף 2א לחוק </w:t>
      </w:r>
      <w:r w:rsidRPr="00A20957">
        <w:rPr>
          <w:rFonts w:hint="eastAsia"/>
          <w:rtl/>
        </w:rPr>
        <w:t>הבחירות</w:t>
      </w:r>
      <w:r w:rsidRPr="00A20957">
        <w:rPr>
          <w:rtl/>
        </w:rPr>
        <w:t xml:space="preserve"> (</w:t>
      </w:r>
      <w:r w:rsidRPr="00A20957">
        <w:rPr>
          <w:rFonts w:hint="eastAsia"/>
          <w:rtl/>
        </w:rPr>
        <w:t>דרכי</w:t>
      </w:r>
      <w:r w:rsidRPr="00A20957">
        <w:rPr>
          <w:rtl/>
        </w:rPr>
        <w:t xml:space="preserve"> </w:t>
      </w:r>
      <w:r w:rsidRPr="00A20957">
        <w:rPr>
          <w:rFonts w:hint="eastAsia"/>
          <w:rtl/>
        </w:rPr>
        <w:t>תעמולה</w:t>
      </w:r>
      <w:r w:rsidRPr="00A20957">
        <w:rPr>
          <w:rtl/>
        </w:rPr>
        <w:t xml:space="preserve">), </w:t>
      </w:r>
      <w:r>
        <w:rPr>
          <w:rFonts w:hint="cs"/>
          <w:rtl/>
        </w:rPr>
        <w:t>ה</w:t>
      </w:r>
      <w:r w:rsidRPr="00A20957">
        <w:rPr>
          <w:rFonts w:hint="eastAsia"/>
          <w:rtl/>
        </w:rPr>
        <w:t>תשי</w:t>
      </w:r>
      <w:r w:rsidRPr="00A20957">
        <w:rPr>
          <w:rtl/>
        </w:rPr>
        <w:t>"</w:t>
      </w:r>
      <w:r w:rsidRPr="00A20957">
        <w:rPr>
          <w:rFonts w:hint="eastAsia"/>
          <w:rtl/>
        </w:rPr>
        <w:t>ט</w:t>
      </w:r>
      <w:r w:rsidRPr="00A20957">
        <w:rPr>
          <w:rtl/>
        </w:rPr>
        <w:t>-1959</w:t>
      </w:r>
      <w:r>
        <w:rPr>
          <w:rFonts w:hint="cs"/>
          <w:rtl/>
        </w:rPr>
        <w:t xml:space="preserve">, נקבע איסור גורף ובלתי תחום בזמן על שימוש בנכסי ציבור של רשות מקומית לצורך תעמולת בחירות. המשמעות היא שמבחינה תיאורטית, שימוש שעשה יוסף במשאבים ציבוריים, שהיה מותר כל עוד הוא היה מנוע מלהתמודד בבחירות לרשות המקומית, עלול להפוך בדיעבד לשימוש המנוגד לכללי התעמולה (ראו בפסקה 49 לחוות דעתו של </w:t>
      </w:r>
      <w:r>
        <w:rPr>
          <w:rFonts w:ascii="Century" w:hAnsi="Century" w:cs="Miriam" w:hint="cs"/>
          <w:b/>
          <w:spacing w:val="0"/>
          <w:szCs w:val="24"/>
          <w:rtl/>
        </w:rPr>
        <w:t>מ"מ הנשיא</w:t>
      </w:r>
      <w:r>
        <w:rPr>
          <w:rFonts w:hint="cs"/>
          <w:rtl/>
        </w:rPr>
        <w:t>). מדובר בהשלכה רטרוספקטיבית בלתי רצויה, ויובהר כי אין באמור משום הטלת ספק ביושרו ובטוהר כוונותיו של יוסף במילוי תפקידו כראש הוועדה הממונה בטבריה.</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5.</w:t>
      </w:r>
      <w:r>
        <w:rPr>
          <w:rFonts w:hint="cs"/>
          <w:rtl/>
        </w:rPr>
        <w:tab/>
        <w:t>התקנת התיקון לחוק הבחירות, בעיצומה של תקופת הבחירות</w:t>
      </w:r>
      <w:r w:rsidRPr="0068323C">
        <w:rPr>
          <w:rFonts w:hint="cs"/>
          <w:rtl/>
        </w:rPr>
        <w:t xml:space="preserve"> </w:t>
      </w:r>
      <w:r>
        <w:rPr>
          <w:rFonts w:hint="cs"/>
          <w:rtl/>
        </w:rPr>
        <w:t xml:space="preserve">וכשהתיקון הוא בעל תחולה מיידית, באופן שמקדם בבירור את עניינו של אדם מסוים על חשבון </w:t>
      </w:r>
      <w:r>
        <w:rPr>
          <w:rFonts w:hint="cs"/>
          <w:rtl/>
        </w:rPr>
        <w:lastRenderedPageBreak/>
        <w:t xml:space="preserve">מועמדים אחרים </w:t>
      </w:r>
      <w:r>
        <w:rPr>
          <w:rtl/>
        </w:rPr>
        <w:t>–</w:t>
      </w:r>
      <w:r>
        <w:rPr>
          <w:rFonts w:hint="cs"/>
          <w:rtl/>
        </w:rPr>
        <w:t xml:space="preserve"> היא בגדר התערבות בוטה של השלטון המרכזי בזכות לבחור ולהיבחר, באופן שמערער את הלגיטימיות של הליך הבחירה ואת מאפייניו הדמוקרטיים. </w:t>
      </w:r>
      <w:r>
        <w:rPr>
          <w:rFonts w:ascii="Century" w:hAnsi="Century" w:hint="cs"/>
          <w:rtl/>
        </w:rPr>
        <w:t xml:space="preserve">לא נעלמה מעיניי העובדה כי יש בקרב בעלי זכות ההצבעה בטבריה מי שהיו מעוניינים לתת את קולם ליוסף; אך באיזון שבין רצון זה, ובין הפגיעה בשוויון והצורך להבטיח את הלגיטימציה של הבחירות ותוצאותיהן </w:t>
      </w:r>
      <w:r>
        <w:rPr>
          <w:rFonts w:ascii="Century" w:hAnsi="Century"/>
          <w:rtl/>
        </w:rPr>
        <w:t>–</w:t>
      </w:r>
      <w:r>
        <w:rPr>
          <w:rFonts w:ascii="Century" w:hAnsi="Century" w:hint="cs"/>
          <w:rtl/>
        </w:rPr>
        <w:t xml:space="preserve"> משקלם של האחרונים גובר. </w:t>
      </w:r>
    </w:p>
    <w:p w:rsidR="000E48FB" w:rsidRDefault="000E48FB" w:rsidP="000E48FB">
      <w:pPr>
        <w:pStyle w:val="Ruller41"/>
        <w:spacing w:line="240" w:lineRule="auto"/>
        <w:rPr>
          <w:rtl/>
        </w:rPr>
      </w:pPr>
    </w:p>
    <w:p w:rsidR="000E48FB" w:rsidRPr="00AF4866" w:rsidRDefault="000E48FB" w:rsidP="000E48FB">
      <w:pPr>
        <w:pStyle w:val="Ruller41"/>
        <w:rPr>
          <w:rtl/>
        </w:rPr>
      </w:pPr>
      <w:r>
        <w:rPr>
          <w:rtl/>
        </w:rPr>
        <w:tab/>
      </w:r>
      <w:r>
        <w:rPr>
          <w:rFonts w:hint="cs"/>
          <w:rtl/>
        </w:rPr>
        <w:t xml:space="preserve">לפיכך, בשל הפגמים הנובעים מהחלה מיידית של תיקון מס' 53 </w:t>
      </w:r>
      <w:r>
        <w:rPr>
          <w:rtl/>
        </w:rPr>
        <w:t>–</w:t>
      </w:r>
      <w:r>
        <w:rPr>
          <w:rFonts w:hint="cs"/>
          <w:rtl/>
        </w:rPr>
        <w:t xml:space="preserve"> פרסונליות, שינוי כללי המשחק תוך כדי משחק, ורטרוספקטיביות </w:t>
      </w:r>
      <w:r>
        <w:rPr>
          <w:rtl/>
        </w:rPr>
        <w:t>–</w:t>
      </w:r>
      <w:r>
        <w:rPr>
          <w:rFonts w:hint="cs"/>
          <w:rtl/>
        </w:rPr>
        <w:t xml:space="preserve"> אני מצטרפת לעמדת חבריי שלפיה יש לפרש את התיקון כך שהוראותיו לא יחולו על הבחירות הקרובות לרשויות המקומיות.</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6.</w:t>
      </w:r>
      <w:r>
        <w:rPr>
          <w:rFonts w:hint="cs"/>
          <w:rtl/>
        </w:rPr>
        <w:tab/>
        <w:t xml:space="preserve">מבלי לגרוע ממשקלם המצטבר של הפגמים המתוארים לעיל, ואחר הדברים האלה, עיון בתיקון מס' 53 מעורר את השאלה </w:t>
      </w:r>
      <w:r>
        <w:rPr>
          <w:rtl/>
        </w:rPr>
        <w:t>–</w:t>
      </w:r>
      <w:r>
        <w:rPr>
          <w:rFonts w:hint="cs"/>
          <w:rtl/>
        </w:rPr>
        <w:t xml:space="preserve"> מה נשתנה שהצדיק את התיקון פרט לעניינו הפרסונלי של יוסף?</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 xml:space="preserve">ההגבלה המונעת התמודדות של ראשי וחברי ועדות ממונות בבחירות הראשונות שנערכות לאחר המינוי, ברשות המקומית שבה כיהנו, נקבעה לראשונה בחוק בשנת 2008, במסגרת תיקון מספר 39 לחוק הבחירות (להלן: </w:t>
      </w:r>
      <w:r w:rsidRPr="002253FC">
        <w:rPr>
          <w:rFonts w:ascii="Century" w:hAnsi="Century" w:cs="Miriam" w:hint="cs"/>
          <w:b/>
          <w:spacing w:val="0"/>
          <w:szCs w:val="24"/>
          <w:rtl/>
        </w:rPr>
        <w:t>תיקון מס' 39</w:t>
      </w:r>
      <w:r>
        <w:rPr>
          <w:rFonts w:hint="cs"/>
          <w:rtl/>
        </w:rPr>
        <w:t>). תכליתו של תיקון מס' 39, כפי שהיא נלמדת מדברי ההסבר להצעת החוק ומהדיונים שנערכו במסגרת הליך החקיקה, הייתה כפולה: שמירה על האופי המקצועי של פעילות הוועדה הממונה, והימנעות מיצירת יתרון בלתי הוגן לראש הוועדה ולחבריה בבחירות הנערכות לאחר המינוי.</w:t>
      </w:r>
    </w:p>
    <w:p w:rsidR="000E48FB" w:rsidRDefault="000E48FB" w:rsidP="000E48FB">
      <w:pPr>
        <w:pStyle w:val="Ruller41"/>
        <w:spacing w:line="240" w:lineRule="auto"/>
        <w:rPr>
          <w:rtl/>
        </w:rPr>
      </w:pPr>
      <w:r>
        <w:rPr>
          <w:rtl/>
        </w:rPr>
        <w:tab/>
      </w:r>
    </w:p>
    <w:p w:rsidR="000E48FB" w:rsidRDefault="000E48FB" w:rsidP="000E48FB">
      <w:pPr>
        <w:pStyle w:val="Ruller41"/>
        <w:rPr>
          <w:rtl/>
        </w:rPr>
      </w:pPr>
      <w:r>
        <w:rPr>
          <w:rtl/>
        </w:rPr>
        <w:tab/>
      </w:r>
      <w:r>
        <w:rPr>
          <w:rFonts w:hint="cs"/>
          <w:rtl/>
        </w:rPr>
        <w:t xml:space="preserve">הסמכות החריגה שניתנה לשר הפנים למנות ועדה למילוי תפקידי הדרג הנבחר ברשות המקומית, מופעלת במקרים שבהם רשות נקלעה למשבר תקציבי או ניהולי, וכן לצורך הקמת מועצה חדשה. במקרים מהסוג הראשון, החלפת הדרג שנבחר באופן דמוקרטי בדרג מקצועי שנבחר על ידי השר, נועדה להבטיח כי ענייניה של הרשות ינוהלו על בסיס שיקולים מקצועיים ולא מתוך מניעים אישיים, ולאפשר קבלת החלטות "לא פופולריות" לצורך חילוץ הרשות מהמשבר. </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7.</w:t>
      </w:r>
      <w:r>
        <w:rPr>
          <w:rFonts w:hint="cs"/>
          <w:rtl/>
        </w:rPr>
        <w:tab/>
        <w:t>על רקע זה, האיסור על התמודדות בבחירות נועד להבטיח כי חברי הוועדה הממונה והעומד בראשה יהיו חפים משיקולים פוליטיים בהווה, וכי לא יהיה מקום "לחשוד" בהם כי יש בליבם משאלות פוליטיות הנוגעות לעתיד הקרוב ומכתיבות את אופן התנהלותם. ובלשונו של יוזם תיקון מס' 39, חבר הכנסת יורם מרציאנו, התיקון נועד למנוע מצב שבו: "</w:t>
      </w:r>
      <w:r w:rsidRPr="00C27EDD">
        <w:rPr>
          <w:rFonts w:ascii="Century" w:hAnsi="Century" w:cs="Miriam" w:hint="eastAsia"/>
          <w:b/>
          <w:spacing w:val="0"/>
          <w:szCs w:val="24"/>
          <w:rtl/>
        </w:rPr>
        <w:t>אנחנו</w:t>
      </w:r>
      <w:r w:rsidRPr="00C27EDD">
        <w:rPr>
          <w:rFonts w:ascii="Century" w:hAnsi="Century" w:cs="Miriam"/>
          <w:b/>
          <w:spacing w:val="0"/>
          <w:szCs w:val="24"/>
          <w:rtl/>
        </w:rPr>
        <w:t xml:space="preserve"> </w:t>
      </w:r>
      <w:r w:rsidRPr="00C27EDD">
        <w:rPr>
          <w:rFonts w:ascii="Century" w:hAnsi="Century" w:cs="Miriam" w:hint="eastAsia"/>
          <w:b/>
          <w:spacing w:val="0"/>
          <w:szCs w:val="24"/>
          <w:rtl/>
        </w:rPr>
        <w:t>מוצאים</w:t>
      </w:r>
      <w:r w:rsidRPr="00C27EDD">
        <w:rPr>
          <w:rFonts w:ascii="Century" w:hAnsi="Century" w:cs="Miriam"/>
          <w:b/>
          <w:spacing w:val="0"/>
          <w:szCs w:val="24"/>
          <w:rtl/>
        </w:rPr>
        <w:t xml:space="preserve"> </w:t>
      </w:r>
      <w:r w:rsidRPr="00C27EDD">
        <w:rPr>
          <w:rFonts w:ascii="Century" w:hAnsi="Century" w:cs="Miriam" w:hint="eastAsia"/>
          <w:b/>
          <w:spacing w:val="0"/>
          <w:szCs w:val="24"/>
          <w:rtl/>
        </w:rPr>
        <w:t>את</w:t>
      </w:r>
      <w:r w:rsidRPr="00C27EDD">
        <w:rPr>
          <w:rFonts w:ascii="Century" w:hAnsi="Century" w:cs="Miriam"/>
          <w:b/>
          <w:spacing w:val="0"/>
          <w:szCs w:val="24"/>
          <w:rtl/>
        </w:rPr>
        <w:t xml:space="preserve"> </w:t>
      </w:r>
      <w:r w:rsidRPr="00C27EDD">
        <w:rPr>
          <w:rFonts w:ascii="Century" w:hAnsi="Century" w:cs="Miriam" w:hint="eastAsia"/>
          <w:b/>
          <w:spacing w:val="0"/>
          <w:szCs w:val="24"/>
          <w:rtl/>
        </w:rPr>
        <w:t>אותם</w:t>
      </w:r>
      <w:r w:rsidRPr="00C27EDD">
        <w:rPr>
          <w:rFonts w:ascii="Century" w:hAnsi="Century" w:cs="Miriam"/>
          <w:b/>
          <w:spacing w:val="0"/>
          <w:szCs w:val="24"/>
          <w:rtl/>
        </w:rPr>
        <w:t xml:space="preserve"> </w:t>
      </w:r>
      <w:r w:rsidRPr="00C27EDD">
        <w:rPr>
          <w:rFonts w:ascii="Century" w:hAnsi="Century" w:cs="Miriam" w:hint="eastAsia"/>
          <w:b/>
          <w:spacing w:val="0"/>
          <w:szCs w:val="24"/>
          <w:rtl/>
        </w:rPr>
        <w:t>פקידים</w:t>
      </w:r>
      <w:r w:rsidRPr="00C27EDD">
        <w:rPr>
          <w:rFonts w:ascii="Century" w:hAnsi="Century" w:cs="Miriam"/>
          <w:b/>
          <w:spacing w:val="0"/>
          <w:szCs w:val="24"/>
          <w:rtl/>
        </w:rPr>
        <w:t xml:space="preserve"> </w:t>
      </w:r>
      <w:r w:rsidRPr="00C27EDD">
        <w:rPr>
          <w:rFonts w:ascii="Century" w:hAnsi="Century" w:cs="Miriam" w:hint="eastAsia"/>
          <w:b/>
          <w:spacing w:val="0"/>
          <w:szCs w:val="24"/>
          <w:rtl/>
        </w:rPr>
        <w:t>שממונים</w:t>
      </w:r>
      <w:r w:rsidRPr="00C27EDD">
        <w:rPr>
          <w:rFonts w:ascii="Century" w:hAnsi="Century" w:cs="Miriam"/>
          <w:b/>
          <w:spacing w:val="0"/>
          <w:szCs w:val="24"/>
          <w:rtl/>
        </w:rPr>
        <w:t xml:space="preserve"> </w:t>
      </w:r>
      <w:r w:rsidRPr="00C27EDD">
        <w:rPr>
          <w:rFonts w:ascii="Century" w:hAnsi="Century" w:cs="Miriam" w:hint="eastAsia"/>
          <w:b/>
          <w:spacing w:val="0"/>
          <w:szCs w:val="24"/>
          <w:rtl/>
        </w:rPr>
        <w:t>על</w:t>
      </w:r>
      <w:r w:rsidRPr="00C27EDD">
        <w:rPr>
          <w:rFonts w:ascii="Century" w:hAnsi="Century" w:cs="Miriam" w:hint="cs"/>
          <w:b/>
          <w:spacing w:val="0"/>
          <w:szCs w:val="24"/>
          <w:rtl/>
        </w:rPr>
        <w:t xml:space="preserve"> </w:t>
      </w:r>
      <w:r w:rsidRPr="00C27EDD">
        <w:rPr>
          <w:rFonts w:ascii="Century" w:hAnsi="Century" w:cs="Miriam" w:hint="eastAsia"/>
          <w:b/>
          <w:spacing w:val="0"/>
          <w:szCs w:val="24"/>
          <w:rtl/>
        </w:rPr>
        <w:t>ידי</w:t>
      </w:r>
      <w:r w:rsidRPr="00C27EDD">
        <w:rPr>
          <w:rFonts w:ascii="Century" w:hAnsi="Century" w:cs="Miriam"/>
          <w:b/>
          <w:spacing w:val="0"/>
          <w:szCs w:val="24"/>
          <w:rtl/>
        </w:rPr>
        <w:t xml:space="preserve"> </w:t>
      </w:r>
      <w:r w:rsidRPr="00C27EDD">
        <w:rPr>
          <w:rFonts w:ascii="Century" w:hAnsi="Century" w:cs="Miriam" w:hint="eastAsia"/>
          <w:b/>
          <w:spacing w:val="0"/>
          <w:szCs w:val="24"/>
          <w:rtl/>
        </w:rPr>
        <w:t>שר</w:t>
      </w:r>
      <w:r w:rsidRPr="00C27EDD">
        <w:rPr>
          <w:rFonts w:ascii="Century" w:hAnsi="Century" w:cs="Miriam"/>
          <w:b/>
          <w:spacing w:val="0"/>
          <w:szCs w:val="24"/>
          <w:rtl/>
        </w:rPr>
        <w:t xml:space="preserve"> </w:t>
      </w:r>
      <w:r w:rsidRPr="00C27EDD">
        <w:rPr>
          <w:rFonts w:ascii="Century" w:hAnsi="Century" w:cs="Miriam" w:hint="eastAsia"/>
          <w:b/>
          <w:spacing w:val="0"/>
          <w:szCs w:val="24"/>
          <w:rtl/>
        </w:rPr>
        <w:t>הפנים</w:t>
      </w:r>
      <w:r w:rsidRPr="00C27EDD">
        <w:rPr>
          <w:rFonts w:ascii="Century" w:hAnsi="Century" w:cs="Miriam"/>
          <w:b/>
          <w:spacing w:val="0"/>
          <w:szCs w:val="24"/>
          <w:rtl/>
        </w:rPr>
        <w:t xml:space="preserve"> </w:t>
      </w:r>
      <w:r w:rsidRPr="00C27EDD">
        <w:rPr>
          <w:rFonts w:ascii="Century" w:hAnsi="Century" w:cs="Miriam" w:hint="eastAsia"/>
          <w:b/>
          <w:spacing w:val="0"/>
          <w:szCs w:val="24"/>
          <w:rtl/>
        </w:rPr>
        <w:t>עוסקים</w:t>
      </w:r>
      <w:r w:rsidRPr="00C27EDD">
        <w:rPr>
          <w:rFonts w:ascii="Century" w:hAnsi="Century" w:cs="Miriam"/>
          <w:b/>
          <w:spacing w:val="0"/>
          <w:szCs w:val="24"/>
          <w:rtl/>
        </w:rPr>
        <w:t xml:space="preserve"> </w:t>
      </w:r>
      <w:r w:rsidRPr="00C27EDD">
        <w:rPr>
          <w:rFonts w:ascii="Century" w:hAnsi="Century" w:cs="Miriam" w:hint="eastAsia"/>
          <w:b/>
          <w:spacing w:val="0"/>
          <w:szCs w:val="24"/>
          <w:rtl/>
        </w:rPr>
        <w:lastRenderedPageBreak/>
        <w:t>בתהליך</w:t>
      </w:r>
      <w:r w:rsidRPr="00C27EDD">
        <w:rPr>
          <w:rFonts w:ascii="Century" w:hAnsi="Century" w:cs="Miriam"/>
          <w:b/>
          <w:spacing w:val="0"/>
          <w:szCs w:val="24"/>
          <w:rtl/>
        </w:rPr>
        <w:t xml:space="preserve"> </w:t>
      </w:r>
      <w:r w:rsidRPr="00C27EDD">
        <w:rPr>
          <w:rFonts w:ascii="Century" w:hAnsi="Century" w:cs="Miriam" w:hint="eastAsia"/>
          <w:b/>
          <w:spacing w:val="0"/>
          <w:szCs w:val="24"/>
          <w:rtl/>
        </w:rPr>
        <w:t>של</w:t>
      </w:r>
      <w:r w:rsidRPr="00C27EDD">
        <w:rPr>
          <w:rFonts w:ascii="Century" w:hAnsi="Century" w:cs="Miriam"/>
          <w:b/>
          <w:spacing w:val="0"/>
          <w:szCs w:val="24"/>
          <w:rtl/>
        </w:rPr>
        <w:t xml:space="preserve"> </w:t>
      </w:r>
      <w:r w:rsidRPr="00C27EDD">
        <w:rPr>
          <w:rFonts w:ascii="Century" w:hAnsi="Century" w:cs="Miriam" w:hint="eastAsia"/>
          <w:b/>
          <w:spacing w:val="0"/>
          <w:szCs w:val="24"/>
          <w:rtl/>
        </w:rPr>
        <w:t>קמפיין</w:t>
      </w:r>
      <w:r w:rsidRPr="00C27EDD">
        <w:rPr>
          <w:rFonts w:ascii="Century" w:hAnsi="Century" w:cs="Miriam"/>
          <w:b/>
          <w:spacing w:val="0"/>
          <w:szCs w:val="24"/>
          <w:rtl/>
        </w:rPr>
        <w:t xml:space="preserve"> </w:t>
      </w:r>
      <w:r w:rsidRPr="00C27EDD">
        <w:rPr>
          <w:rFonts w:ascii="Century" w:hAnsi="Century" w:cs="Miriam" w:hint="eastAsia"/>
          <w:b/>
          <w:spacing w:val="0"/>
          <w:szCs w:val="24"/>
          <w:rtl/>
        </w:rPr>
        <w:t>בחירות</w:t>
      </w:r>
      <w:r w:rsidRPr="00C27EDD">
        <w:rPr>
          <w:rFonts w:ascii="Century" w:hAnsi="Century" w:cs="Miriam"/>
          <w:b/>
          <w:spacing w:val="0"/>
          <w:szCs w:val="24"/>
          <w:rtl/>
        </w:rPr>
        <w:t xml:space="preserve"> </w:t>
      </w:r>
      <w:r w:rsidRPr="00C27EDD">
        <w:rPr>
          <w:rFonts w:ascii="Century" w:hAnsi="Century" w:cs="Miriam" w:hint="eastAsia"/>
          <w:b/>
          <w:spacing w:val="0"/>
          <w:szCs w:val="24"/>
          <w:rtl/>
        </w:rPr>
        <w:t>מהיום</w:t>
      </w:r>
      <w:r w:rsidRPr="00C27EDD">
        <w:rPr>
          <w:rFonts w:ascii="Century" w:hAnsi="Century" w:cs="Miriam"/>
          <w:b/>
          <w:spacing w:val="0"/>
          <w:szCs w:val="24"/>
          <w:rtl/>
        </w:rPr>
        <w:t xml:space="preserve"> </w:t>
      </w:r>
      <w:r w:rsidRPr="00C27EDD">
        <w:rPr>
          <w:rFonts w:ascii="Century" w:hAnsi="Century" w:cs="Miriam" w:hint="eastAsia"/>
          <w:b/>
          <w:spacing w:val="0"/>
          <w:szCs w:val="24"/>
          <w:rtl/>
        </w:rPr>
        <w:t>הראשון</w:t>
      </w:r>
      <w:r w:rsidRPr="00C27EDD">
        <w:rPr>
          <w:rFonts w:ascii="Century" w:hAnsi="Century" w:cs="Miriam"/>
          <w:b/>
          <w:spacing w:val="0"/>
          <w:szCs w:val="24"/>
          <w:rtl/>
        </w:rPr>
        <w:t xml:space="preserve"> </w:t>
      </w:r>
      <w:r w:rsidRPr="00C27EDD">
        <w:rPr>
          <w:rFonts w:ascii="Century" w:hAnsi="Century" w:cs="Miriam" w:hint="eastAsia"/>
          <w:b/>
          <w:spacing w:val="0"/>
          <w:szCs w:val="24"/>
          <w:rtl/>
        </w:rPr>
        <w:t>שהם</w:t>
      </w:r>
      <w:r w:rsidRPr="00C27EDD">
        <w:rPr>
          <w:rFonts w:ascii="Century" w:hAnsi="Century" w:cs="Miriam"/>
          <w:b/>
          <w:spacing w:val="0"/>
          <w:szCs w:val="24"/>
          <w:rtl/>
        </w:rPr>
        <w:t xml:space="preserve"> </w:t>
      </w:r>
      <w:r w:rsidRPr="00C27EDD">
        <w:rPr>
          <w:rFonts w:ascii="Century" w:hAnsi="Century" w:cs="Miriam" w:hint="eastAsia"/>
          <w:b/>
          <w:spacing w:val="0"/>
          <w:szCs w:val="24"/>
          <w:rtl/>
        </w:rPr>
        <w:t>מתמנים</w:t>
      </w:r>
      <w:r w:rsidRPr="00C27EDD">
        <w:rPr>
          <w:rFonts w:hint="cs"/>
          <w:rtl/>
        </w:rPr>
        <w:t>" (פרוטוקול ישיבה 259 של הכנסת ה-17, 78 (16.7.2008)).</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אשר לפגיעה בשוויון הנגרמת כתוצאה מהתמודדות של ראש ועדה ממונה, שעליה עמדתי לעיל, נאמר בדיון של ועדת הפנים והגנת הסביבה של הכנסת, שהכינה את ההצעה לתיקון מס' 39 לקריאה ראשונה, כי "</w:t>
      </w:r>
      <w:r w:rsidRPr="00886A42">
        <w:rPr>
          <w:rFonts w:ascii="Century" w:hAnsi="Century" w:cs="Miriam" w:hint="eastAsia"/>
          <w:b/>
          <w:spacing w:val="0"/>
          <w:szCs w:val="24"/>
          <w:rtl/>
        </w:rPr>
        <w:t>כאשר</w:t>
      </w:r>
      <w:r w:rsidRPr="00886A42">
        <w:rPr>
          <w:rFonts w:ascii="Century" w:hAnsi="Century" w:cs="Miriam"/>
          <w:b/>
          <w:spacing w:val="0"/>
          <w:szCs w:val="24"/>
          <w:rtl/>
        </w:rPr>
        <w:t xml:space="preserve"> </w:t>
      </w:r>
      <w:r w:rsidRPr="00886A42">
        <w:rPr>
          <w:rFonts w:ascii="Century" w:hAnsi="Century" w:cs="Miriam" w:hint="eastAsia"/>
          <w:b/>
          <w:spacing w:val="0"/>
          <w:szCs w:val="24"/>
          <w:rtl/>
        </w:rPr>
        <w:t>אדם</w:t>
      </w:r>
      <w:r w:rsidRPr="00886A42">
        <w:rPr>
          <w:rFonts w:ascii="Century" w:hAnsi="Century" w:cs="Miriam"/>
          <w:b/>
          <w:spacing w:val="0"/>
          <w:szCs w:val="24"/>
          <w:rtl/>
        </w:rPr>
        <w:t xml:space="preserve"> </w:t>
      </w:r>
      <w:r w:rsidRPr="00886A42">
        <w:rPr>
          <w:rFonts w:ascii="Century" w:hAnsi="Century" w:cs="Miriam" w:hint="eastAsia"/>
          <w:b/>
          <w:spacing w:val="0"/>
          <w:szCs w:val="24"/>
          <w:rtl/>
        </w:rPr>
        <w:t>עומד</w:t>
      </w:r>
      <w:r w:rsidRPr="00886A42">
        <w:rPr>
          <w:rFonts w:ascii="Century" w:hAnsi="Century" w:cs="Miriam"/>
          <w:b/>
          <w:spacing w:val="0"/>
          <w:szCs w:val="24"/>
          <w:rtl/>
        </w:rPr>
        <w:t xml:space="preserve"> </w:t>
      </w:r>
      <w:r w:rsidRPr="00886A42">
        <w:rPr>
          <w:rFonts w:ascii="Century" w:hAnsi="Century" w:cs="Miriam" w:hint="eastAsia"/>
          <w:b/>
          <w:spacing w:val="0"/>
          <w:szCs w:val="24"/>
          <w:rtl/>
        </w:rPr>
        <w:t>בראש</w:t>
      </w:r>
      <w:r w:rsidRPr="00886A42">
        <w:rPr>
          <w:rFonts w:ascii="Century" w:hAnsi="Century" w:cs="Miriam"/>
          <w:b/>
          <w:spacing w:val="0"/>
          <w:szCs w:val="24"/>
          <w:rtl/>
        </w:rPr>
        <w:t xml:space="preserve"> </w:t>
      </w:r>
      <w:r w:rsidRPr="00886A42">
        <w:rPr>
          <w:rFonts w:ascii="Century" w:hAnsi="Century" w:cs="Miriam" w:hint="eastAsia"/>
          <w:b/>
          <w:spacing w:val="0"/>
          <w:szCs w:val="24"/>
          <w:rtl/>
        </w:rPr>
        <w:t>רשות</w:t>
      </w:r>
      <w:r w:rsidRPr="00886A42">
        <w:rPr>
          <w:rFonts w:ascii="Century" w:hAnsi="Century" w:cs="Miriam"/>
          <w:b/>
          <w:spacing w:val="0"/>
          <w:szCs w:val="24"/>
          <w:rtl/>
        </w:rPr>
        <w:t xml:space="preserve"> </w:t>
      </w:r>
      <w:r w:rsidRPr="00886A42">
        <w:rPr>
          <w:rFonts w:ascii="Century" w:hAnsi="Century" w:cs="Miriam" w:hint="eastAsia"/>
          <w:b/>
          <w:spacing w:val="0"/>
          <w:szCs w:val="24"/>
          <w:rtl/>
        </w:rPr>
        <w:t>ממונה</w:t>
      </w:r>
      <w:r w:rsidRPr="00886A42">
        <w:rPr>
          <w:rFonts w:ascii="Century" w:hAnsi="Century" w:cs="Miriam"/>
          <w:b/>
          <w:spacing w:val="0"/>
          <w:szCs w:val="24"/>
          <w:rtl/>
        </w:rPr>
        <w:t xml:space="preserve"> </w:t>
      </w:r>
      <w:r w:rsidRPr="00886A42">
        <w:rPr>
          <w:rFonts w:ascii="Century" w:hAnsi="Century" w:cs="Miriam" w:hint="eastAsia"/>
          <w:b/>
          <w:spacing w:val="0"/>
          <w:szCs w:val="24"/>
          <w:rtl/>
        </w:rPr>
        <w:t>הוא</w:t>
      </w:r>
      <w:r w:rsidRPr="00886A42">
        <w:rPr>
          <w:rFonts w:ascii="Century" w:hAnsi="Century" w:cs="Miriam"/>
          <w:b/>
          <w:spacing w:val="0"/>
          <w:szCs w:val="24"/>
          <w:rtl/>
        </w:rPr>
        <w:t xml:space="preserve"> </w:t>
      </w:r>
      <w:r w:rsidRPr="00886A42">
        <w:rPr>
          <w:rFonts w:ascii="Century" w:hAnsi="Century" w:cs="Miriam" w:hint="eastAsia"/>
          <w:b/>
          <w:spacing w:val="0"/>
          <w:szCs w:val="24"/>
          <w:rtl/>
        </w:rPr>
        <w:t>לא</w:t>
      </w:r>
      <w:r w:rsidRPr="00886A42">
        <w:rPr>
          <w:rFonts w:ascii="Century" w:hAnsi="Century" w:cs="Miriam"/>
          <w:b/>
          <w:spacing w:val="0"/>
          <w:szCs w:val="24"/>
          <w:rtl/>
        </w:rPr>
        <w:t xml:space="preserve"> </w:t>
      </w:r>
      <w:r w:rsidRPr="00886A42">
        <w:rPr>
          <w:rFonts w:ascii="Century" w:hAnsi="Century" w:cs="Miriam" w:hint="eastAsia"/>
          <w:b/>
          <w:spacing w:val="0"/>
          <w:szCs w:val="24"/>
          <w:rtl/>
        </w:rPr>
        <w:t>עומד</w:t>
      </w:r>
      <w:r w:rsidRPr="00886A42">
        <w:rPr>
          <w:rFonts w:ascii="Century" w:hAnsi="Century" w:cs="Miriam"/>
          <w:b/>
          <w:spacing w:val="0"/>
          <w:szCs w:val="24"/>
          <w:rtl/>
        </w:rPr>
        <w:t xml:space="preserve"> </w:t>
      </w:r>
      <w:r w:rsidRPr="00886A42">
        <w:rPr>
          <w:rFonts w:ascii="Century" w:hAnsi="Century" w:cs="Miriam" w:hint="eastAsia"/>
          <w:b/>
          <w:spacing w:val="0"/>
          <w:szCs w:val="24"/>
          <w:rtl/>
        </w:rPr>
        <w:t>באותם</w:t>
      </w:r>
      <w:r w:rsidRPr="00886A42">
        <w:rPr>
          <w:rFonts w:ascii="Century" w:hAnsi="Century" w:cs="Miriam"/>
          <w:b/>
          <w:spacing w:val="0"/>
          <w:szCs w:val="24"/>
          <w:rtl/>
        </w:rPr>
        <w:t xml:space="preserve"> </w:t>
      </w:r>
      <w:r w:rsidRPr="00886A42">
        <w:rPr>
          <w:rFonts w:ascii="Century" w:hAnsi="Century" w:cs="Miriam" w:hint="eastAsia"/>
          <w:b/>
          <w:spacing w:val="0"/>
          <w:szCs w:val="24"/>
          <w:rtl/>
        </w:rPr>
        <w:t>אילוצים</w:t>
      </w:r>
      <w:r w:rsidRPr="00886A42">
        <w:rPr>
          <w:rFonts w:ascii="Century" w:hAnsi="Century" w:cs="Miriam"/>
          <w:b/>
          <w:spacing w:val="0"/>
          <w:szCs w:val="24"/>
          <w:rtl/>
        </w:rPr>
        <w:t xml:space="preserve"> </w:t>
      </w:r>
      <w:r w:rsidRPr="00886A42">
        <w:rPr>
          <w:rFonts w:ascii="Century" w:hAnsi="Century" w:cs="Miriam" w:hint="eastAsia"/>
          <w:b/>
          <w:spacing w:val="0"/>
          <w:szCs w:val="24"/>
          <w:rtl/>
        </w:rPr>
        <w:t>שעומד</w:t>
      </w:r>
      <w:r w:rsidRPr="00886A42">
        <w:rPr>
          <w:rFonts w:ascii="Century" w:hAnsi="Century" w:cs="Miriam"/>
          <w:b/>
          <w:spacing w:val="0"/>
          <w:szCs w:val="24"/>
          <w:rtl/>
        </w:rPr>
        <w:t xml:space="preserve"> </w:t>
      </w:r>
      <w:r w:rsidRPr="00886A42">
        <w:rPr>
          <w:rFonts w:ascii="Century" w:hAnsi="Century" w:cs="Miriam" w:hint="eastAsia"/>
          <w:b/>
          <w:spacing w:val="0"/>
          <w:szCs w:val="24"/>
          <w:rtl/>
        </w:rPr>
        <w:t>אדם</w:t>
      </w:r>
      <w:r w:rsidRPr="00886A42">
        <w:rPr>
          <w:rFonts w:ascii="Century" w:hAnsi="Century" w:cs="Miriam"/>
          <w:b/>
          <w:spacing w:val="0"/>
          <w:szCs w:val="24"/>
          <w:rtl/>
        </w:rPr>
        <w:t xml:space="preserve"> </w:t>
      </w:r>
      <w:r w:rsidRPr="00886A42">
        <w:rPr>
          <w:rFonts w:ascii="Century" w:hAnsi="Century" w:cs="Miriam" w:hint="eastAsia"/>
          <w:b/>
          <w:spacing w:val="0"/>
          <w:szCs w:val="24"/>
          <w:rtl/>
        </w:rPr>
        <w:t>שנבחר</w:t>
      </w:r>
      <w:r w:rsidRPr="00886A42">
        <w:rPr>
          <w:rFonts w:ascii="Century" w:hAnsi="Century" w:cs="Miriam"/>
          <w:b/>
          <w:spacing w:val="0"/>
          <w:szCs w:val="24"/>
          <w:rtl/>
        </w:rPr>
        <w:t xml:space="preserve"> </w:t>
      </w:r>
      <w:r w:rsidRPr="00886A42">
        <w:rPr>
          <w:rFonts w:ascii="Century" w:hAnsi="Century" w:cs="Miriam" w:hint="eastAsia"/>
          <w:b/>
          <w:spacing w:val="0"/>
          <w:szCs w:val="24"/>
          <w:rtl/>
        </w:rPr>
        <w:t>עם</w:t>
      </w:r>
      <w:r w:rsidRPr="00886A42">
        <w:rPr>
          <w:rFonts w:ascii="Century" w:hAnsi="Century" w:cs="Miriam"/>
          <w:b/>
          <w:spacing w:val="0"/>
          <w:szCs w:val="24"/>
          <w:rtl/>
        </w:rPr>
        <w:t xml:space="preserve"> </w:t>
      </w:r>
      <w:r w:rsidRPr="00886A42">
        <w:rPr>
          <w:rFonts w:ascii="Century" w:hAnsi="Century" w:cs="Miriam" w:hint="eastAsia"/>
          <w:b/>
          <w:spacing w:val="0"/>
          <w:szCs w:val="24"/>
          <w:rtl/>
        </w:rPr>
        <w:t>מועצה</w:t>
      </w:r>
      <w:r w:rsidRPr="00886A42">
        <w:rPr>
          <w:rFonts w:ascii="Century" w:hAnsi="Century" w:cs="Miriam"/>
          <w:b/>
          <w:spacing w:val="0"/>
          <w:szCs w:val="24"/>
          <w:rtl/>
        </w:rPr>
        <w:t xml:space="preserve"> </w:t>
      </w:r>
      <w:r w:rsidRPr="00886A42">
        <w:rPr>
          <w:rFonts w:ascii="Century" w:hAnsi="Century" w:cs="Miriam" w:hint="eastAsia"/>
          <w:b/>
          <w:spacing w:val="0"/>
          <w:szCs w:val="24"/>
          <w:rtl/>
        </w:rPr>
        <w:t>נבחרת</w:t>
      </w:r>
      <w:r w:rsidRPr="00886A42">
        <w:rPr>
          <w:rFonts w:ascii="Century" w:hAnsi="Century" w:cs="Miriam"/>
          <w:b/>
          <w:spacing w:val="0"/>
          <w:szCs w:val="24"/>
          <w:rtl/>
        </w:rPr>
        <w:t xml:space="preserve"> </w:t>
      </w:r>
      <w:r w:rsidRPr="00886A42">
        <w:rPr>
          <w:rFonts w:ascii="Century" w:hAnsi="Century" w:cs="Miriam" w:hint="eastAsia"/>
          <w:b/>
          <w:spacing w:val="0"/>
          <w:szCs w:val="24"/>
          <w:rtl/>
        </w:rPr>
        <w:t>וכדומה</w:t>
      </w:r>
      <w:r w:rsidRPr="00886A42">
        <w:rPr>
          <w:rFonts w:ascii="Century" w:hAnsi="Century" w:cs="Miriam"/>
          <w:b/>
          <w:spacing w:val="0"/>
          <w:szCs w:val="24"/>
          <w:rtl/>
        </w:rPr>
        <w:t xml:space="preserve">. </w:t>
      </w:r>
      <w:r w:rsidRPr="00886A42">
        <w:rPr>
          <w:rFonts w:ascii="Century" w:hAnsi="Century" w:cs="Miriam" w:hint="eastAsia"/>
          <w:b/>
          <w:spacing w:val="0"/>
          <w:szCs w:val="24"/>
          <w:rtl/>
        </w:rPr>
        <w:t>כלומר</w:t>
      </w:r>
      <w:r w:rsidRPr="00886A42">
        <w:rPr>
          <w:rFonts w:ascii="Century" w:hAnsi="Century" w:cs="Miriam"/>
          <w:b/>
          <w:spacing w:val="0"/>
          <w:szCs w:val="24"/>
          <w:rtl/>
        </w:rPr>
        <w:t xml:space="preserve"> </w:t>
      </w:r>
      <w:r w:rsidRPr="00886A42">
        <w:rPr>
          <w:rFonts w:ascii="Century" w:hAnsi="Century" w:cs="Miriam" w:hint="eastAsia"/>
          <w:b/>
          <w:spacing w:val="0"/>
          <w:szCs w:val="24"/>
          <w:rtl/>
        </w:rPr>
        <w:t>התנאים</w:t>
      </w:r>
      <w:r w:rsidRPr="00886A42">
        <w:rPr>
          <w:rFonts w:ascii="Century" w:hAnsi="Century" w:cs="Miriam"/>
          <w:b/>
          <w:spacing w:val="0"/>
          <w:szCs w:val="24"/>
          <w:rtl/>
        </w:rPr>
        <w:t xml:space="preserve"> </w:t>
      </w:r>
      <w:r w:rsidRPr="00886A42">
        <w:rPr>
          <w:rFonts w:ascii="Century" w:hAnsi="Century" w:cs="Miriam" w:hint="eastAsia"/>
          <w:b/>
          <w:spacing w:val="0"/>
          <w:szCs w:val="24"/>
          <w:rtl/>
        </w:rPr>
        <w:t>של</w:t>
      </w:r>
      <w:r w:rsidRPr="00886A42">
        <w:rPr>
          <w:rFonts w:ascii="Century" w:hAnsi="Century" w:cs="Miriam"/>
          <w:b/>
          <w:spacing w:val="0"/>
          <w:szCs w:val="24"/>
          <w:rtl/>
        </w:rPr>
        <w:t xml:space="preserve"> </w:t>
      </w:r>
      <w:r w:rsidRPr="00886A42">
        <w:rPr>
          <w:rFonts w:ascii="Century" w:hAnsi="Century" w:cs="Miriam" w:hint="eastAsia"/>
          <w:b/>
          <w:spacing w:val="0"/>
          <w:szCs w:val="24"/>
          <w:rtl/>
        </w:rPr>
        <w:t>ראש</w:t>
      </w:r>
      <w:r w:rsidRPr="00886A42">
        <w:rPr>
          <w:rFonts w:ascii="Century" w:hAnsi="Century" w:cs="Miriam"/>
          <w:b/>
          <w:spacing w:val="0"/>
          <w:szCs w:val="24"/>
          <w:rtl/>
        </w:rPr>
        <w:t xml:space="preserve"> </w:t>
      </w:r>
      <w:r w:rsidRPr="00C27EDD">
        <w:rPr>
          <w:rFonts w:ascii="Century" w:hAnsi="Century" w:cs="Miriam" w:hint="eastAsia"/>
          <w:b/>
          <w:spacing w:val="0"/>
          <w:szCs w:val="24"/>
          <w:rtl/>
        </w:rPr>
        <w:t>הוועדה</w:t>
      </w:r>
      <w:r w:rsidRPr="00C27EDD">
        <w:rPr>
          <w:rFonts w:ascii="Century" w:hAnsi="Century" w:cs="Miriam"/>
          <w:b/>
          <w:spacing w:val="0"/>
          <w:szCs w:val="24"/>
          <w:rtl/>
        </w:rPr>
        <w:t xml:space="preserve"> </w:t>
      </w:r>
      <w:r w:rsidRPr="00C27EDD">
        <w:rPr>
          <w:rFonts w:ascii="Century" w:hAnsi="Century" w:cs="Miriam" w:hint="eastAsia"/>
          <w:b/>
          <w:spacing w:val="0"/>
          <w:szCs w:val="24"/>
          <w:rtl/>
        </w:rPr>
        <w:t>הממונה</w:t>
      </w:r>
      <w:r w:rsidRPr="00C27EDD">
        <w:rPr>
          <w:rFonts w:ascii="Century" w:hAnsi="Century" w:cs="Miriam"/>
          <w:b/>
          <w:spacing w:val="0"/>
          <w:szCs w:val="24"/>
          <w:rtl/>
        </w:rPr>
        <w:t xml:space="preserve"> </w:t>
      </w:r>
      <w:r w:rsidRPr="00C27EDD">
        <w:rPr>
          <w:rFonts w:ascii="Century" w:hAnsi="Century" w:cs="Miriam" w:hint="eastAsia"/>
          <w:b/>
          <w:spacing w:val="0"/>
          <w:szCs w:val="24"/>
          <w:rtl/>
        </w:rPr>
        <w:t>הרבה</w:t>
      </w:r>
      <w:r w:rsidRPr="00C27EDD">
        <w:rPr>
          <w:rFonts w:ascii="Century" w:hAnsi="Century" w:cs="Miriam"/>
          <w:b/>
          <w:spacing w:val="0"/>
          <w:szCs w:val="24"/>
          <w:rtl/>
        </w:rPr>
        <w:t xml:space="preserve"> </w:t>
      </w:r>
      <w:r w:rsidRPr="00C27EDD">
        <w:rPr>
          <w:rFonts w:ascii="Century" w:hAnsi="Century" w:cs="Miriam" w:hint="eastAsia"/>
          <w:b/>
          <w:spacing w:val="0"/>
          <w:szCs w:val="24"/>
          <w:rtl/>
        </w:rPr>
        <w:t>יותר</w:t>
      </w:r>
      <w:r w:rsidRPr="00C27EDD">
        <w:rPr>
          <w:rFonts w:ascii="Century" w:hAnsi="Century" w:cs="Miriam"/>
          <w:b/>
          <w:spacing w:val="0"/>
          <w:szCs w:val="24"/>
          <w:rtl/>
        </w:rPr>
        <w:t xml:space="preserve"> </w:t>
      </w:r>
      <w:r w:rsidRPr="00C27EDD">
        <w:rPr>
          <w:rFonts w:ascii="Century" w:hAnsi="Century" w:cs="Miriam" w:hint="eastAsia"/>
          <w:b/>
          <w:spacing w:val="0"/>
          <w:szCs w:val="24"/>
          <w:rtl/>
        </w:rPr>
        <w:t>קלים</w:t>
      </w:r>
      <w:r w:rsidRPr="00C27EDD">
        <w:rPr>
          <w:rFonts w:ascii="Century" w:hAnsi="Century" w:cs="Miriam"/>
          <w:b/>
          <w:spacing w:val="0"/>
          <w:szCs w:val="24"/>
          <w:rtl/>
        </w:rPr>
        <w:t xml:space="preserve"> </w:t>
      </w:r>
      <w:r w:rsidRPr="00C27EDD">
        <w:rPr>
          <w:rFonts w:ascii="Century" w:hAnsi="Century" w:cs="Miriam" w:hint="eastAsia"/>
          <w:b/>
          <w:spacing w:val="0"/>
          <w:szCs w:val="24"/>
          <w:rtl/>
        </w:rPr>
        <w:t>ולכן</w:t>
      </w:r>
      <w:r w:rsidRPr="00C27EDD">
        <w:rPr>
          <w:rFonts w:ascii="Century" w:hAnsi="Century" w:cs="Miriam"/>
          <w:b/>
          <w:spacing w:val="0"/>
          <w:szCs w:val="24"/>
          <w:rtl/>
        </w:rPr>
        <w:t xml:space="preserve"> </w:t>
      </w:r>
      <w:r w:rsidRPr="00C27EDD">
        <w:rPr>
          <w:rFonts w:ascii="Century" w:hAnsi="Century" w:cs="Miriam" w:hint="eastAsia"/>
          <w:b/>
          <w:spacing w:val="0"/>
          <w:szCs w:val="24"/>
          <w:rtl/>
        </w:rPr>
        <w:t>הסיכוי</w:t>
      </w:r>
      <w:r w:rsidRPr="00C27EDD">
        <w:rPr>
          <w:rFonts w:ascii="Century" w:hAnsi="Century" w:cs="Miriam"/>
          <w:b/>
          <w:spacing w:val="0"/>
          <w:szCs w:val="24"/>
          <w:rtl/>
        </w:rPr>
        <w:t xml:space="preserve"> </w:t>
      </w:r>
      <w:r w:rsidRPr="00C27EDD">
        <w:rPr>
          <w:rFonts w:ascii="Century" w:hAnsi="Century" w:cs="Miriam" w:hint="eastAsia"/>
          <w:b/>
          <w:spacing w:val="0"/>
          <w:szCs w:val="24"/>
          <w:rtl/>
        </w:rPr>
        <w:t>שייבחר</w:t>
      </w:r>
      <w:r w:rsidRPr="00C27EDD">
        <w:rPr>
          <w:rFonts w:ascii="Century" w:hAnsi="Century" w:cs="Miriam"/>
          <w:b/>
          <w:spacing w:val="0"/>
          <w:szCs w:val="24"/>
          <w:rtl/>
        </w:rPr>
        <w:t xml:space="preserve"> </w:t>
      </w:r>
      <w:r w:rsidRPr="00C27EDD">
        <w:rPr>
          <w:rFonts w:ascii="Century" w:hAnsi="Century" w:cs="Miriam" w:hint="eastAsia"/>
          <w:b/>
          <w:spacing w:val="0"/>
          <w:szCs w:val="24"/>
          <w:rtl/>
        </w:rPr>
        <w:t>לאחר</w:t>
      </w:r>
      <w:r w:rsidRPr="00C27EDD">
        <w:rPr>
          <w:rFonts w:ascii="Century" w:hAnsi="Century" w:cs="Miriam"/>
          <w:b/>
          <w:spacing w:val="0"/>
          <w:szCs w:val="24"/>
          <w:rtl/>
        </w:rPr>
        <w:t xml:space="preserve"> </w:t>
      </w:r>
      <w:r w:rsidRPr="00C27EDD">
        <w:rPr>
          <w:rFonts w:ascii="Century" w:hAnsi="Century" w:cs="Miriam" w:hint="eastAsia"/>
          <w:b/>
          <w:spacing w:val="0"/>
          <w:szCs w:val="24"/>
          <w:rtl/>
        </w:rPr>
        <w:t>מכן</w:t>
      </w:r>
      <w:r w:rsidRPr="00C27EDD">
        <w:rPr>
          <w:rFonts w:ascii="Century" w:hAnsi="Century" w:cs="Miriam"/>
          <w:b/>
          <w:spacing w:val="0"/>
          <w:szCs w:val="24"/>
          <w:rtl/>
        </w:rPr>
        <w:t xml:space="preserve"> </w:t>
      </w:r>
      <w:r w:rsidRPr="00C27EDD">
        <w:rPr>
          <w:rFonts w:ascii="Century" w:hAnsi="Century" w:cs="Miriam" w:hint="eastAsia"/>
          <w:b/>
          <w:spacing w:val="0"/>
          <w:szCs w:val="24"/>
          <w:rtl/>
        </w:rPr>
        <w:t>בקלפי</w:t>
      </w:r>
      <w:r w:rsidRPr="00C27EDD">
        <w:rPr>
          <w:rFonts w:ascii="Century" w:hAnsi="Century" w:cs="Miriam"/>
          <w:b/>
          <w:spacing w:val="0"/>
          <w:szCs w:val="24"/>
          <w:rtl/>
        </w:rPr>
        <w:t xml:space="preserve"> </w:t>
      </w:r>
      <w:r w:rsidRPr="00C27EDD">
        <w:rPr>
          <w:rFonts w:ascii="Century" w:hAnsi="Century" w:cs="Miriam" w:hint="eastAsia"/>
          <w:b/>
          <w:spacing w:val="0"/>
          <w:szCs w:val="24"/>
          <w:rtl/>
        </w:rPr>
        <w:t>גדולים</w:t>
      </w:r>
      <w:r w:rsidRPr="00C27EDD">
        <w:rPr>
          <w:rFonts w:ascii="Century" w:hAnsi="Century" w:cs="Miriam"/>
          <w:b/>
          <w:spacing w:val="0"/>
          <w:szCs w:val="24"/>
          <w:rtl/>
        </w:rPr>
        <w:t xml:space="preserve"> </w:t>
      </w:r>
      <w:r w:rsidRPr="00C27EDD">
        <w:rPr>
          <w:rFonts w:ascii="Century" w:hAnsi="Century" w:cs="Miriam" w:hint="eastAsia"/>
          <w:b/>
          <w:spacing w:val="0"/>
          <w:szCs w:val="24"/>
          <w:rtl/>
        </w:rPr>
        <w:t>הרבה</w:t>
      </w:r>
      <w:r w:rsidRPr="00C27EDD">
        <w:rPr>
          <w:rFonts w:ascii="Century" w:hAnsi="Century" w:cs="Miriam"/>
          <w:b/>
          <w:spacing w:val="0"/>
          <w:szCs w:val="24"/>
          <w:rtl/>
        </w:rPr>
        <w:t xml:space="preserve"> </w:t>
      </w:r>
      <w:r w:rsidRPr="00C27EDD">
        <w:rPr>
          <w:rFonts w:ascii="Century" w:hAnsi="Century" w:cs="Miriam" w:hint="eastAsia"/>
          <w:b/>
          <w:spacing w:val="0"/>
          <w:szCs w:val="24"/>
          <w:rtl/>
        </w:rPr>
        <w:t>יותר</w:t>
      </w:r>
      <w:r w:rsidRPr="00C27EDD">
        <w:rPr>
          <w:rFonts w:hint="cs"/>
          <w:rtl/>
        </w:rPr>
        <w:t>" (פרוטוקול ישיבה 440 של ועדת הפנים והגנת הסביבה, הכנסת ה-17, 3 (7.9.2008)).</w:t>
      </w:r>
    </w:p>
    <w:p w:rsidR="000E48FB" w:rsidRDefault="000E48FB" w:rsidP="000E48FB">
      <w:pPr>
        <w:pStyle w:val="Ruller41"/>
        <w:spacing w:line="240" w:lineRule="auto"/>
        <w:rPr>
          <w:rtl/>
        </w:rPr>
      </w:pPr>
    </w:p>
    <w:p w:rsidR="000E48FB" w:rsidRDefault="000E48FB" w:rsidP="000E48FB">
      <w:pPr>
        <w:pStyle w:val="Ruller41"/>
        <w:rPr>
          <w:rtl/>
        </w:rPr>
      </w:pPr>
      <w:r>
        <w:rPr>
          <w:rFonts w:hint="cs"/>
          <w:rtl/>
        </w:rPr>
        <w:t>8.</w:t>
      </w:r>
      <w:r>
        <w:rPr>
          <w:rFonts w:hint="cs"/>
          <w:rtl/>
        </w:rPr>
        <w:tab/>
        <w:t>על פניו, תיקון מס' 53 אינו נותן מענה לאיזו מהתכליות שאותן ביקש למלא תיקון מס' 39. כל שנאמר בדברי ההסבר להצעת התיקון הוא שההגבלה על ההתמודדות בבחירות חמורה מדי ו"</w:t>
      </w:r>
      <w:r w:rsidRPr="00886A42">
        <w:rPr>
          <w:rFonts w:ascii="Century" w:hAnsi="Century" w:cs="Miriam" w:hint="cs"/>
          <w:b/>
          <w:spacing w:val="0"/>
          <w:szCs w:val="24"/>
          <w:rtl/>
        </w:rPr>
        <w:t xml:space="preserve">אינה </w:t>
      </w:r>
      <w:r w:rsidRPr="00C27EDD">
        <w:rPr>
          <w:rFonts w:ascii="Century" w:hAnsi="Century" w:cs="Miriam" w:hint="cs"/>
          <w:b/>
          <w:spacing w:val="0"/>
          <w:szCs w:val="24"/>
          <w:rtl/>
        </w:rPr>
        <w:t>נותנת משקל ראוי לזכות היסוד לבחור ולהיבחר</w:t>
      </w:r>
      <w:r w:rsidRPr="00C27EDD">
        <w:rPr>
          <w:rFonts w:hint="cs"/>
          <w:rtl/>
        </w:rPr>
        <w:t>" (דברי הסבר להצעת חוק הרשויות המקומיות (בחירות) (תיקון מס' 54) (הזכות להיבחר), התשפ"ג-2023, ה"ח הכנסת 966, 106). אלא</w:t>
      </w:r>
      <w:r>
        <w:rPr>
          <w:rFonts w:hint="cs"/>
          <w:rtl/>
        </w:rPr>
        <w:t xml:space="preserve"> שהזכות לבחור ולהיבחר היא שעמדה לנגד עיני המחוקק במסגרת תיקון מס' 39, שבו הגביל את האפשרות של ראש הוועדה הממונה וחבריה להתמודד בבחירות; כאשר ההגבלה חלה רק ביחס לבחירות הראשונות המתקיימות לאחר המינוי. </w:t>
      </w:r>
    </w:p>
    <w:p w:rsidR="000E48FB" w:rsidRDefault="000E48FB" w:rsidP="000E48FB">
      <w:pPr>
        <w:pStyle w:val="Ruller41"/>
        <w:spacing w:line="240" w:lineRule="auto"/>
        <w:rPr>
          <w:rtl/>
        </w:rPr>
      </w:pPr>
    </w:p>
    <w:p w:rsidR="000E48FB" w:rsidRDefault="000E48FB" w:rsidP="000E48FB">
      <w:pPr>
        <w:pStyle w:val="Ruller41"/>
        <w:rPr>
          <w:rtl/>
        </w:rPr>
      </w:pPr>
      <w:r>
        <w:rPr>
          <w:rtl/>
        </w:rPr>
        <w:tab/>
      </w:r>
      <w:r>
        <w:rPr>
          <w:rFonts w:hint="cs"/>
          <w:rtl/>
        </w:rPr>
        <w:t>התיקון עומד בניגוד צורם לתכלית שביסוד מוסד הוועדה הממונה, עד שדומה כי לא ניתן למצוא לו כל הצדקה ממשית; זאת פרט להיבט הפרסונלי שנועד לאפשר ליוסף להתמודד בבחירות לראשות עיריית טבריה, ולפתוח לו את הדלת לתפקיד שהיה נעול בפניו. התיקון מעורר חשש לפגיעה בכללי המינהל התקין, ולפתיחת פתח לעשיית שימוש לרעה בכוח ובסמכויות המופקדות בידי ראשי ועדות ממונות. תחת שאיפה לחיזוק הזכות לבחור ולהיבחר, נוצר הסדר חדש המאיים לפגוע ביכולתן של ועדות ממונות לפעול להגשמת תכליתן השיקומית, ובכלל זה להשיג את שיתוף הפעולה של גורמים מקומיים, ולרכוש את אמונם של תושבי הרשויות המקומיות שבהן הן פועלות.</w:t>
      </w:r>
    </w:p>
    <w:p w:rsidR="000E48FB" w:rsidRDefault="000E48FB" w:rsidP="000E48FB">
      <w:pPr>
        <w:pStyle w:val="Ruller41"/>
        <w:spacing w:line="240" w:lineRule="auto"/>
        <w:rPr>
          <w:rtl/>
        </w:rPr>
      </w:pPr>
    </w:p>
    <w:p w:rsidR="000E48FB" w:rsidRPr="0024615A" w:rsidRDefault="000E48FB" w:rsidP="000E48FB">
      <w:pPr>
        <w:pStyle w:val="Ruller41"/>
        <w:rPr>
          <w:rtl/>
        </w:rPr>
      </w:pPr>
      <w:r>
        <w:rPr>
          <w:rFonts w:hint="cs"/>
          <w:rtl/>
        </w:rPr>
        <w:t>9.</w:t>
      </w:r>
      <w:r>
        <w:rPr>
          <w:rFonts w:hint="cs"/>
          <w:rtl/>
        </w:rPr>
        <w:tab/>
        <w:t>סוף דבר. על בסיס הנימוקים שעליהם עמדתי בסעיפים 5-2 לעיל, אני מצטרפת לתוצאה שלפיה התיקון לא יחול בבחירות הקרובות לרשויות המקומיות.</w:t>
      </w:r>
    </w:p>
    <w:p w:rsidR="000E48FB" w:rsidRDefault="000E48FB" w:rsidP="000E48FB">
      <w:pPr>
        <w:pStyle w:val="Ruller41"/>
        <w:rPr>
          <w:rtl/>
        </w:rPr>
      </w:pPr>
    </w:p>
    <w:p w:rsidR="00C97B4E" w:rsidRDefault="00C97B4E" w:rsidP="00C97B4E">
      <w:pPr>
        <w:pStyle w:val="Ruller41"/>
        <w:rPr>
          <w:rtl/>
        </w:rPr>
      </w:pPr>
    </w:p>
    <w:tbl>
      <w:tblPr>
        <w:bidiVisual/>
        <w:tblW w:w="8363" w:type="dxa"/>
        <w:tblLook w:val="01E0" w:firstRow="1" w:lastRow="1" w:firstColumn="1" w:lastColumn="1" w:noHBand="0" w:noVBand="0"/>
      </w:tblPr>
      <w:tblGrid>
        <w:gridCol w:w="2783"/>
        <w:gridCol w:w="2797"/>
        <w:gridCol w:w="2783"/>
      </w:tblGrid>
      <w:tr w:rsidR="00C97B4E" w:rsidRPr="00267280" w:rsidTr="002A0D41">
        <w:tc>
          <w:tcPr>
            <w:tcW w:w="2783" w:type="dxa"/>
            <w:shd w:val="clear" w:color="auto" w:fill="auto"/>
          </w:tcPr>
          <w:p w:rsidR="00C97B4E" w:rsidRPr="00267280" w:rsidRDefault="00C97B4E" w:rsidP="002A0D41">
            <w:pPr>
              <w:pStyle w:val="Ruller41"/>
              <w:jc w:val="center"/>
              <w:rPr>
                <w:rtl/>
              </w:rPr>
            </w:pPr>
          </w:p>
        </w:tc>
        <w:tc>
          <w:tcPr>
            <w:tcW w:w="2797" w:type="dxa"/>
            <w:shd w:val="clear" w:color="auto" w:fill="auto"/>
          </w:tcPr>
          <w:p w:rsidR="00C97B4E" w:rsidRPr="00267280" w:rsidRDefault="00C97B4E" w:rsidP="002A0D41">
            <w:pPr>
              <w:pStyle w:val="Ruller41"/>
              <w:jc w:val="center"/>
              <w:rPr>
                <w:rtl/>
              </w:rPr>
            </w:pPr>
          </w:p>
        </w:tc>
        <w:tc>
          <w:tcPr>
            <w:tcW w:w="2783" w:type="dxa"/>
            <w:shd w:val="clear" w:color="auto" w:fill="auto"/>
          </w:tcPr>
          <w:p w:rsidR="00C97B4E" w:rsidRPr="00267280" w:rsidRDefault="00C97B4E" w:rsidP="009E681D">
            <w:pPr>
              <w:pStyle w:val="Ruller41"/>
              <w:jc w:val="right"/>
              <w:rPr>
                <w:rtl/>
              </w:rPr>
            </w:pPr>
            <w:r>
              <w:rPr>
                <w:rFonts w:hint="cs"/>
                <w:rtl/>
              </w:rPr>
              <w:t>ש</w:t>
            </w:r>
            <w:r w:rsidR="009E681D">
              <w:rPr>
                <w:rFonts w:hint="cs"/>
                <w:rtl/>
              </w:rPr>
              <w:t xml:space="preserve"> </w:t>
            </w:r>
            <w:r>
              <w:rPr>
                <w:rFonts w:hint="cs"/>
                <w:rtl/>
              </w:rPr>
              <w:t>ו</w:t>
            </w:r>
            <w:r w:rsidR="009E681D">
              <w:rPr>
                <w:rFonts w:hint="cs"/>
                <w:rtl/>
              </w:rPr>
              <w:t xml:space="preserve"> </w:t>
            </w:r>
            <w:r>
              <w:rPr>
                <w:rFonts w:hint="cs"/>
                <w:rtl/>
              </w:rPr>
              <w:t>פ</w:t>
            </w:r>
            <w:r w:rsidR="009E681D">
              <w:rPr>
                <w:rFonts w:hint="cs"/>
                <w:rtl/>
              </w:rPr>
              <w:t xml:space="preserve"> </w:t>
            </w:r>
            <w:r>
              <w:rPr>
                <w:rFonts w:hint="cs"/>
                <w:rtl/>
              </w:rPr>
              <w:t>ט</w:t>
            </w:r>
            <w:r w:rsidR="009E681D">
              <w:rPr>
                <w:rFonts w:hint="cs"/>
                <w:rtl/>
              </w:rPr>
              <w:t xml:space="preserve"> </w:t>
            </w:r>
            <w:r>
              <w:rPr>
                <w:rFonts w:hint="cs"/>
                <w:rtl/>
              </w:rPr>
              <w:t>ת</w:t>
            </w:r>
            <w:r w:rsidR="000E48FB">
              <w:rPr>
                <w:rFonts w:hint="cs"/>
                <w:rtl/>
              </w:rPr>
              <w:t xml:space="preserve"> (בדימ')</w:t>
            </w:r>
          </w:p>
        </w:tc>
      </w:tr>
    </w:tbl>
    <w:p w:rsidR="00C97B4E" w:rsidRDefault="00C97B4E" w:rsidP="00C97B4E">
      <w:pPr>
        <w:pStyle w:val="Ruller41"/>
        <w:rPr>
          <w:rtl/>
        </w:rPr>
      </w:pPr>
    </w:p>
    <w:p w:rsidR="00F32774" w:rsidRDefault="00F32774" w:rsidP="00F32774">
      <w:pPr>
        <w:pStyle w:val="Ruller41"/>
        <w:rPr>
          <w:rtl/>
        </w:rPr>
      </w:pPr>
    </w:p>
    <w:p w:rsidR="00F32774" w:rsidRPr="00D57E3F" w:rsidRDefault="00F32774" w:rsidP="00F32774">
      <w:pPr>
        <w:pStyle w:val="Ruller41"/>
        <w:rPr>
          <w:rFonts w:ascii="Century" w:hAnsi="Century" w:cs="Miriam"/>
          <w:b/>
          <w:spacing w:val="0"/>
          <w:szCs w:val="24"/>
          <w:rtl/>
        </w:rPr>
      </w:pPr>
      <w:r w:rsidRPr="00D57E3F">
        <w:rPr>
          <w:rFonts w:ascii="Century" w:hAnsi="Century" w:cs="Miriam" w:hint="cs"/>
          <w:b/>
          <w:spacing w:val="0"/>
          <w:szCs w:val="24"/>
          <w:u w:val="single"/>
          <w:rtl/>
        </w:rPr>
        <w:t>השופט</w:t>
      </w:r>
      <w:r>
        <w:rPr>
          <w:rFonts w:ascii="Century" w:hAnsi="Century" w:cs="Miriam" w:hint="cs"/>
          <w:b/>
          <w:spacing w:val="0"/>
          <w:szCs w:val="24"/>
          <w:u w:val="single"/>
          <w:rtl/>
        </w:rPr>
        <w:t>ת</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ד' ברק-ארז</w:t>
      </w:r>
      <w:r>
        <w:rPr>
          <w:rFonts w:ascii="Century" w:hAnsi="Century" w:cs="Miriam" w:hint="cs"/>
          <w:b/>
          <w:spacing w:val="0"/>
          <w:szCs w:val="24"/>
          <w:rtl/>
        </w:rPr>
        <w:t>:</w:t>
      </w:r>
    </w:p>
    <w:p w:rsidR="00F32774" w:rsidRDefault="00F32774" w:rsidP="00F32774">
      <w:pPr>
        <w:pStyle w:val="Ruller41"/>
        <w:jc w:val="center"/>
        <w:rPr>
          <w:b/>
          <w:bCs/>
          <w:u w:val="single"/>
          <w:rtl/>
        </w:rPr>
      </w:pPr>
    </w:p>
    <w:p w:rsidR="00F32774" w:rsidRDefault="00F32774" w:rsidP="00F32774">
      <w:pPr>
        <w:pStyle w:val="Ruller41"/>
        <w:rPr>
          <w:rtl/>
        </w:rPr>
      </w:pPr>
      <w:r>
        <w:rPr>
          <w:rtl/>
        </w:rPr>
        <w:t xml:space="preserve">1. </w:t>
      </w:r>
      <w:r>
        <w:rPr>
          <w:rtl/>
        </w:rPr>
        <w:tab/>
        <w:t xml:space="preserve">התיקון לחוק שנדון בהליך זה ביקש לשנות, באופן מיידי, את הכללים החלים על התמודדות בבחירות של ראש ועדה ממונה ברשות מקומית בתום כהונתו בתפקיד זה. אני מסכימה עם חברי </w:t>
      </w:r>
      <w:r>
        <w:rPr>
          <w:rFonts w:hint="cs"/>
          <w:rtl/>
        </w:rPr>
        <w:t>ממלא מקום הנשיא</w:t>
      </w:r>
      <w:r>
        <w:rPr>
          <w:rtl/>
        </w:rPr>
        <w:t xml:space="preserve"> </w:t>
      </w:r>
      <w:r>
        <w:rPr>
          <w:rFonts w:ascii="Century" w:hAnsi="Century" w:cs="Miriam"/>
          <w:b/>
          <w:spacing w:val="0"/>
          <w:szCs w:val="24"/>
          <w:rtl/>
        </w:rPr>
        <w:t>ע' פוגלמן</w:t>
      </w:r>
      <w:r>
        <w:rPr>
          <w:rtl/>
        </w:rPr>
        <w:t xml:space="preserve"> שהתיקון אינו בעל אופי טכני, אלא נסב על שאלות מהותיות ביותר, המשליכות על טוהר הבחירות ועל הבטחת השוויון בהן. כפי שציין </w:t>
      </w:r>
      <w:r>
        <w:rPr>
          <w:rFonts w:hint="cs"/>
          <w:rtl/>
        </w:rPr>
        <w:t>ממלא מקום הנשיא</w:t>
      </w:r>
      <w:r>
        <w:rPr>
          <w:rtl/>
        </w:rPr>
        <w:t xml:space="preserve">, בשלב זה נדרשה הכרעתנו רק ביחס לשאלת התחולה המיידית של התיקון החדש, ועל כן ראוי להותיר את שאלת תוקפו וחוקתיותו של ההסדר כולו לעת מצוא, בהתאם להתפתחויות עתידיות. אני מסכימה אפוא לפסק דינו של חברי </w:t>
      </w:r>
      <w:r>
        <w:rPr>
          <w:rFonts w:hint="cs"/>
          <w:rtl/>
        </w:rPr>
        <w:t>ממלא מקום הנשיא</w:t>
      </w:r>
      <w:r>
        <w:rPr>
          <w:rtl/>
        </w:rPr>
        <w:t xml:space="preserve"> בעניין זה, ואף לתוצאה שאליה הגיע. עם זאת, מצאתי לנכון להוסיף מספר הערות המחדדות מנקודת מבטי את חשיבותם של הנושאים שבהם דנו.</w:t>
      </w:r>
    </w:p>
    <w:p w:rsidR="00F32774" w:rsidRDefault="00F32774" w:rsidP="00F32774">
      <w:pPr>
        <w:pStyle w:val="Ruller41"/>
        <w:rPr>
          <w:rtl/>
        </w:rPr>
      </w:pPr>
    </w:p>
    <w:p w:rsidR="00F32774" w:rsidRDefault="00F32774" w:rsidP="00151E87">
      <w:pPr>
        <w:pStyle w:val="Ruller41"/>
        <w:rPr>
          <w:rtl/>
        </w:rPr>
      </w:pPr>
      <w:r>
        <w:rPr>
          <w:rtl/>
        </w:rPr>
        <w:t xml:space="preserve">2. </w:t>
      </w:r>
      <w:r>
        <w:rPr>
          <w:rtl/>
        </w:rPr>
        <w:tab/>
      </w:r>
      <w:r w:rsidR="00151E87">
        <w:rPr>
          <w:rFonts w:hint="cs"/>
          <w:rtl/>
        </w:rPr>
        <w:t>בפתח הדברים אציין</w:t>
      </w:r>
      <w:r>
        <w:rPr>
          <w:rtl/>
        </w:rPr>
        <w:t>, כי פסק דיננו ממוקד בהגנה החוקתית על עקרון השוויון, שזכתה זה מכבר להכרה במסגרת ההלכה הפסוקה בגדרו של חוק</w:t>
      </w:r>
      <w:r>
        <w:rPr>
          <w:rFonts w:hint="cs"/>
          <w:rtl/>
        </w:rPr>
        <w:t>-</w:t>
      </w:r>
      <w:r>
        <w:rPr>
          <w:rtl/>
        </w:rPr>
        <w:t xml:space="preserve">יסוד: כבוד האדם וחירותו. בנסיבות אלה, אינני נדרשת לעמדתו של חברי השופט </w:t>
      </w:r>
      <w:r>
        <w:rPr>
          <w:rFonts w:ascii="Century" w:hAnsi="Century" w:cs="Miriam"/>
          <w:b/>
          <w:spacing w:val="0"/>
          <w:szCs w:val="24"/>
          <w:rtl/>
        </w:rPr>
        <w:t>א' שטיין</w:t>
      </w:r>
      <w:r>
        <w:rPr>
          <w:rtl/>
        </w:rPr>
        <w:t xml:space="preserve">, המציג למעשה גישה חלופית לזו המבוססת על חוקי היסוד עצמם. כל זאת, מבלי לגרוע מחשיבותה ומערכה של הכרזת העצמאות, שבה ראה בית משפט זה את </w:t>
      </w:r>
      <w:r>
        <w:rPr>
          <w:rFonts w:hint="cs"/>
          <w:rtl/>
        </w:rPr>
        <w:t>ה</w:t>
      </w:r>
      <w:r>
        <w:rPr>
          <w:rtl/>
        </w:rPr>
        <w:t xml:space="preserve">"אספקלריה של מערכת החיים הלאומיים" (ראו: בג"ץ 73/53 </w:t>
      </w:r>
      <w:r>
        <w:rPr>
          <w:rFonts w:ascii="Century" w:hAnsi="Century" w:cs="Miriam"/>
          <w:b/>
          <w:spacing w:val="0"/>
          <w:szCs w:val="24"/>
          <w:rtl/>
        </w:rPr>
        <w:t>"קול העם" בע"מ נ' שר הפנים</w:t>
      </w:r>
      <w:r>
        <w:rPr>
          <w:rtl/>
        </w:rPr>
        <w:t xml:space="preserve">, פ"ד ז 871, 884 (1953)). </w:t>
      </w:r>
    </w:p>
    <w:p w:rsidR="00F32774" w:rsidRDefault="00F32774" w:rsidP="00F32774">
      <w:pPr>
        <w:pStyle w:val="Ruller41"/>
        <w:rPr>
          <w:rtl/>
        </w:rPr>
      </w:pPr>
    </w:p>
    <w:p w:rsidR="00F32774" w:rsidRDefault="00F32774" w:rsidP="00167BF0">
      <w:pPr>
        <w:pStyle w:val="Ruller41"/>
        <w:rPr>
          <w:rtl/>
        </w:rPr>
      </w:pPr>
      <w:r>
        <w:rPr>
          <w:rtl/>
        </w:rPr>
        <w:t xml:space="preserve">3. </w:t>
      </w:r>
      <w:r>
        <w:rPr>
          <w:rtl/>
        </w:rPr>
        <w:tab/>
        <w:t>א</w:t>
      </w:r>
      <w:r w:rsidR="00167BF0">
        <w:rPr>
          <w:rFonts w:hint="cs"/>
          <w:rtl/>
        </w:rPr>
        <w:t>ני מבקשת להתמקד ב</w:t>
      </w:r>
      <w:r>
        <w:rPr>
          <w:rtl/>
        </w:rPr>
        <w:t>חשיבותם של דיני הבחירות. דיני הבחירות הם התשתית לדמוקרטיה מתפקדת. הזכות לבחור ולהיבחר היא זכות הראשה, שממנה נגזרת במידה רבה ההגנה על כלל הזכויות. בדמוקרטיה ייצוגית שלוחי הציבור הם נבחריו. מי שאינו בוחר, אינו משפיע על תהליכי קבלת ההחלטות וממילא מועד יותר לכך שההחלטות המתקבלות יפגעו בו ובזכויותיו. בהתאמה, נדרש גם שהבוחרים יוכלו לבחור מבין מבחר של מועמדים שיתמודדו בתנאים שווים.</w:t>
      </w:r>
    </w:p>
    <w:p w:rsidR="00F32774" w:rsidRDefault="00F32774" w:rsidP="00F32774">
      <w:pPr>
        <w:pStyle w:val="Ruller41"/>
        <w:rPr>
          <w:rtl/>
        </w:rPr>
      </w:pPr>
    </w:p>
    <w:p w:rsidR="00F32774" w:rsidRDefault="00F32774" w:rsidP="00F32774">
      <w:pPr>
        <w:pStyle w:val="Ruller41"/>
        <w:rPr>
          <w:rtl/>
        </w:rPr>
      </w:pPr>
      <w:r>
        <w:rPr>
          <w:rtl/>
        </w:rPr>
        <w:t xml:space="preserve">4. </w:t>
      </w:r>
      <w:r>
        <w:rPr>
          <w:rtl/>
        </w:rPr>
        <w:tab/>
        <w:t>בדרך כלל, הדיון בהגנה על הזכות לבחור ולהיבחר ממוקד בשלטון המרכזי. ואכן, חוק</w:t>
      </w:r>
      <w:r>
        <w:rPr>
          <w:rFonts w:hint="cs"/>
          <w:rtl/>
        </w:rPr>
        <w:t>-</w:t>
      </w:r>
      <w:r>
        <w:rPr>
          <w:rtl/>
        </w:rPr>
        <w:t xml:space="preserve">יסוד: הכנסת כולל בתוכו הגנה מפורשת על הזכות לבחור ועל הזכות להיבחר. בהיבט של הזכות לבחור, סעיף 5 לחוק יסוד זה קובע כי "כל אזרח ישראלי בן שמונה עשרה שנה ומעלה זכאי לבחור לכנסת" (בכפוף להחלטה שיפוטית אחרת לפי דין). בהיבט של הזכות להיבחר, סעיף 6(א) לחוק היסוד מוסיף וקובע כי "כל אזרח ישראלי שביום הגשת רשימת המועמדים הכוללת את שמו הוא בן עשרים ואחת שנה ומעלה, זכאי </w:t>
      </w:r>
      <w:r>
        <w:rPr>
          <w:rtl/>
        </w:rPr>
        <w:lastRenderedPageBreak/>
        <w:t>להיבחר לכנסת" (בכפוף להחלטה שיפוטית אחרת לפי דין או במקרים של הרשעה חלוטה כמפורט בסעיף). לצד זאת, סעיף 4 לאותו חוק יסוד קובע את עקרון השוויון בין מועמדים בבחירות.</w:t>
      </w:r>
      <w:r>
        <w:rPr>
          <w:rFonts w:hint="cs"/>
        </w:rPr>
        <w:t xml:space="preserve"> </w:t>
      </w:r>
      <w:r>
        <w:rPr>
          <w:rtl/>
        </w:rPr>
        <w:t>לעומת זאת,</w:t>
      </w:r>
      <w:r>
        <w:rPr>
          <w:rFonts w:hint="cs"/>
        </w:rPr>
        <w:t xml:space="preserve"> </w:t>
      </w:r>
      <w:r>
        <w:rPr>
          <w:rtl/>
        </w:rPr>
        <w:t xml:space="preserve">למרבה הצער, מערך חוקי היסוד בישראל אינו כולל התייחסות מפורשת למעמדן של הזכות לבחור והזכות להיבחר במישור השלטון המקומי, מעבר להסדרים הקבועים בחקיקה ובפסיקה. זהו חסר גדול במערך חוקי היסוד שלנו, וראוי להפנות אליו זרקור. למעשה, זהו "ענף" של חוסר גדול יותר הקיים במערכת המשפט שלנו – היעדר הסדרה חוקתית של מעמדו של השלטון המקומי בחוקי היסוד. השלטון המקומי הוא מרכיב חשוב ומשמעותי במערך השלטון בישראל, והיעדרה של הסדרה חוקתית שלו (בשונה מההסדרה החוקתית הקיימת ביחס לשלטון המרכזי בחוקי היסוד) מעוררת קושי. </w:t>
      </w:r>
    </w:p>
    <w:p w:rsidR="00F32774" w:rsidRDefault="00F32774" w:rsidP="00F32774">
      <w:pPr>
        <w:pStyle w:val="Ruller41"/>
        <w:rPr>
          <w:rtl/>
        </w:rPr>
      </w:pPr>
    </w:p>
    <w:p w:rsidR="00F32774" w:rsidRDefault="00F32774" w:rsidP="00F32774">
      <w:pPr>
        <w:pStyle w:val="Ruller41"/>
        <w:rPr>
          <w:rtl/>
        </w:rPr>
      </w:pPr>
      <w:r>
        <w:rPr>
          <w:rtl/>
        </w:rPr>
        <w:t xml:space="preserve">5. </w:t>
      </w:r>
      <w:r>
        <w:rPr>
          <w:rtl/>
        </w:rPr>
        <w:tab/>
        <w:t xml:space="preserve">מבלי למצות, ניתן להצביע על כך שהכרה במעמדן של הרשויות המקומיות ובסמכויותיהן, כחלק מן המערך השלטוני, מוצאת את ביטויה בחלק מן החוקות המודרניות, לעתים גם תוך התייחסות קונקרטית לסוגיית הבחירות לרשויות המקומיות. כך למשל, סעיף 28 לחוק היסוד הגרמני משנת 1949 (המהווה את חוקתה) מסדיר לא רק את מעמדן של המדינות (במסגרת השלטון הפדראלי הנוהג בגרמניה) ואת הבחירות המתקיימות בהן, אלא גם את הבחירות במישור השלטון המקומי, שצריכות להיות כלליות, ישירות, חופשיות, שוות וחשאיות. חוקתה של דרום-אפריקה משנת 1996 כוללת פרק שלם (פרק 7) העוסק במעמדן של הרשויות המקומיות ובכלל זה מסדיר את הבחירות להן (בסעיף 157). ניתן לקוות כי בעתיד, במסגרת השלמת המפעל של חוקי היסוד, יימצא מקום גם במשפט הישראלי להסדרה חוקתית של תחום השלטון המקומי, ובכלל זה </w:t>
      </w:r>
      <w:r>
        <w:rPr>
          <w:rFonts w:hint="cs"/>
          <w:rtl/>
        </w:rPr>
        <w:t>ל</w:t>
      </w:r>
      <w:r>
        <w:rPr>
          <w:rtl/>
        </w:rPr>
        <w:t xml:space="preserve">כללים הנוגעים לבחירות בו. הדברים אמורים מבלי למעט מן החשיבות הנודעת לשמירה על הבחנות רלוונטיות בין המישור של השלטון המרכזי לבין המישור המקומי (כפי שניתן ללמוד אף מעצם קיומו של מוסד הוועדה הממונה, המתערבת למעשה בתוצאות הבחירות במישור המקומי – מוסד שאינו מתאים, מעצם טיבו, למישור הכלל-ארצי). </w:t>
      </w:r>
    </w:p>
    <w:p w:rsidR="00F32774" w:rsidRDefault="00F32774" w:rsidP="00F32774">
      <w:pPr>
        <w:pStyle w:val="Ruller41"/>
      </w:pPr>
    </w:p>
    <w:p w:rsidR="00F32774" w:rsidRDefault="00F32774" w:rsidP="00F32774">
      <w:pPr>
        <w:pStyle w:val="Ruller41"/>
        <w:rPr>
          <w:rtl/>
        </w:rPr>
      </w:pPr>
      <w:r>
        <w:rPr>
          <w:rtl/>
        </w:rPr>
        <w:t xml:space="preserve">6. </w:t>
      </w:r>
      <w:r>
        <w:rPr>
          <w:rtl/>
        </w:rPr>
        <w:tab/>
        <w:t xml:space="preserve">לא למותר להזכיר בהקשר זה כי עוד מימים ימימה נקבע שאחד המרכיבים המרכזיים של ההגנה על כבוד האדם הוא ההגנה על האוטונומיה של הרצון (ראו למשל: בג"ץ 6427/02 </w:t>
      </w:r>
      <w:r>
        <w:rPr>
          <w:rFonts w:ascii="Century" w:hAnsi="Century" w:cs="Miriam"/>
          <w:b/>
          <w:spacing w:val="0"/>
          <w:szCs w:val="24"/>
          <w:rtl/>
        </w:rPr>
        <w:t>התנועה לאיכות השלטון בישראל נ' הכנסת</w:t>
      </w:r>
      <w:r>
        <w:rPr>
          <w:rtl/>
        </w:rPr>
        <w:t xml:space="preserve">, פ"ד סא(1) 619, 685-684 (2006)). דומה שלא יכול להיות ביטוי מובהק יותר לאוטונומיה של הרצון מאשר השתתפות במערכת בחירות למוסדות השלטון המכוננים את הקהילה שאליה אדם משתייך דרך קבע (ראו: יששכר רוזן-צבי "מהותו של ה'מקומי' – הרהורים על מקומיות בעקבות בג"ץ 10104/04 שלום עכשיו נ' יוסף" </w:t>
      </w:r>
      <w:r>
        <w:rPr>
          <w:rFonts w:ascii="Century" w:hAnsi="Century" w:cs="Miriam"/>
          <w:b/>
          <w:spacing w:val="0"/>
          <w:szCs w:val="24"/>
          <w:rtl/>
        </w:rPr>
        <w:t>משפט וממשל</w:t>
      </w:r>
      <w:r>
        <w:rPr>
          <w:rtl/>
        </w:rPr>
        <w:t xml:space="preserve"> יב 333, 370-368 (2009)). </w:t>
      </w:r>
      <w:r>
        <w:rPr>
          <w:rtl/>
        </w:rPr>
        <w:lastRenderedPageBreak/>
        <w:t>הרשות המקומית היא מסגרת מוסדית המאפשרת דמוקרטיה השתתפותית זמינה באופן יחסי, כזו שמעניקה הזדמנות ממשית להשפיע על החלטות שלטוניות הנוגעות לחיי היומיום של תושביה. לכך תורמים, בין השאר, היחס הקטן בין מספר הבוחרים למספר הנציגים, כמו גם העובדה שקבוצות מיעוט ברמה הלאומית עשויות להיות רוב ברמה המקומית (</w:t>
      </w:r>
      <w:r>
        <w:rPr>
          <w:rFonts w:ascii="Century" w:hAnsi="Century" w:cs="Miriam"/>
          <w:b/>
          <w:spacing w:val="0"/>
          <w:szCs w:val="24"/>
          <w:rtl/>
        </w:rPr>
        <w:t>שם</w:t>
      </w:r>
      <w:r>
        <w:rPr>
          <w:rtl/>
        </w:rPr>
        <w:t xml:space="preserve">, בעמ' 373-372). חשיבות ההגנה על הזכות לבחור והזכות להיבחר במישור המקומי מתיישבת גם עם תפיסת יסוד חשובה נוספת בדיני השלטון המקומי שלנו – עקרון האוטונומיה של הרשות המקומית (ראו למשל: </w:t>
      </w:r>
      <w:r>
        <w:rPr>
          <w:rFonts w:ascii="FrankRuehl" w:hAnsi="FrankRuehl"/>
          <w:b/>
          <w:spacing w:val="0"/>
          <w:sz w:val="28"/>
          <w:rtl/>
        </w:rPr>
        <w:t>דנג"ץ 3660/17</w:t>
      </w:r>
      <w:r>
        <w:rPr>
          <w:rFonts w:ascii="Century" w:hAnsi="Century" w:cs="Miriam"/>
          <w:b/>
          <w:spacing w:val="0"/>
          <w:szCs w:val="24"/>
          <w:rtl/>
        </w:rPr>
        <w:t xml:space="preserve"> ‏התאחדות הסוחרים והעצמאים הכללית נ' שר הפנים</w:t>
      </w:r>
      <w:r>
        <w:rPr>
          <w:rtl/>
        </w:rPr>
        <w:t>,</w:t>
      </w:r>
      <w:r>
        <w:rPr>
          <w:rFonts w:ascii="Century" w:hAnsi="Century" w:cs="Miriam"/>
          <w:b/>
          <w:spacing w:val="0"/>
          <w:szCs w:val="24"/>
          <w:rtl/>
        </w:rPr>
        <w:t xml:space="preserve"> </w:t>
      </w:r>
      <w:r>
        <w:rPr>
          <w:rtl/>
        </w:rPr>
        <w:t xml:space="preserve">פסקאות 28-25 לפסק דינה של הנשיאה </w:t>
      </w:r>
      <w:r>
        <w:rPr>
          <w:rFonts w:ascii="Century" w:hAnsi="Century" w:cs="Miriam"/>
          <w:b/>
          <w:spacing w:val="0"/>
          <w:szCs w:val="24"/>
          <w:rtl/>
        </w:rPr>
        <w:t>מ' נאור</w:t>
      </w:r>
      <w:r>
        <w:rPr>
          <w:rtl/>
        </w:rPr>
        <w:t xml:space="preserve"> ופסקאות 30-26 לפסק דיני (26.10.2017)). החשיבות הנודעת להגנה על האוטונומיה של הרשות המקומית נובעת מכך שהיא מבטאת את בחירותיה של הקהילה (באמצעות נציגיה). </w:t>
      </w:r>
    </w:p>
    <w:p w:rsidR="00F32774" w:rsidRDefault="00F32774" w:rsidP="00F32774">
      <w:pPr>
        <w:pStyle w:val="Ruller41"/>
        <w:rPr>
          <w:rtl/>
        </w:rPr>
      </w:pPr>
    </w:p>
    <w:p w:rsidR="00F32774" w:rsidRDefault="00F32774" w:rsidP="00F32774">
      <w:pPr>
        <w:pStyle w:val="Ruller41"/>
        <w:rPr>
          <w:rtl/>
        </w:rPr>
      </w:pPr>
      <w:r>
        <w:rPr>
          <w:rtl/>
        </w:rPr>
        <w:t xml:space="preserve">7. </w:t>
      </w:r>
      <w:r>
        <w:rPr>
          <w:rtl/>
        </w:rPr>
        <w:tab/>
        <w:t xml:space="preserve">אציין עוד שההכרה בחשיבותן של הזכות לבחור והזכות להיבחר גם במישור השלטון המקומי משקפת במידה רבה </w:t>
      </w:r>
      <w:r>
        <w:rPr>
          <w:rFonts w:hint="cs"/>
          <w:rtl/>
        </w:rPr>
        <w:t>אף</w:t>
      </w:r>
      <w:r>
        <w:rPr>
          <w:rtl/>
        </w:rPr>
        <w:t xml:space="preserve"> את ההיסטוריה של המשפט הישראלי, החל בתקופה שקדמה להקמת המדינה. כך, בתקופת המנדט הבריטי, תושבי הארץ לא היו בעלי זכויות פוליטיות מסדר ראשון, מאחר שהשלטון המרכזי לא היה דמוקרטי. אולם, דווקא בתחום המקומי, התקיימו בחירות, כך שההשתתפות האזרחית הפעילה, בין בדרך של מימוש זכות הבחירה ובין בדרך של היבחרות, התבטאה דווקא בפוליטיקה המקומית. אפשר אפוא לומר שהזכות לבחור והזכות להיבחר בתחום המקומי היו קיימות עוד קודם לעיגונן במישור הארצי. אכן, עם קום המדינה השתנה המשטר מעיקרו, ונולדה הדמוקרטיה ברמה הארצית-לאומית. אולם, אין בכך כדי לגרוע מחשיבותה של הדמוקרטיה המקומית.</w:t>
      </w:r>
    </w:p>
    <w:p w:rsidR="00F32774" w:rsidRDefault="00F32774" w:rsidP="00F32774">
      <w:pPr>
        <w:pStyle w:val="Ruller41"/>
        <w:rPr>
          <w:rtl/>
        </w:rPr>
      </w:pPr>
    </w:p>
    <w:p w:rsidR="00F32774" w:rsidRDefault="00F32774" w:rsidP="00F32774">
      <w:pPr>
        <w:pStyle w:val="Ruller41"/>
        <w:rPr>
          <w:rtl/>
        </w:rPr>
      </w:pPr>
      <w:r>
        <w:rPr>
          <w:rtl/>
        </w:rPr>
        <w:t>8.</w:t>
      </w:r>
      <w:r>
        <w:rPr>
          <w:rtl/>
        </w:rPr>
        <w:tab/>
        <w:t xml:space="preserve">מכל מקום, אף בהיעדר הגנה ישירה על הזכות לבחור במישור המקומי, נודעת חשיבות עצמאית לכך שכאשר מתקיימת מערכת בחירות מקומית, זו תהיה שוויונית, כמתחייב מן ההגנה החוקתית על הזכות לשוויון (השוו: </w:t>
      </w:r>
      <w:r>
        <w:rPr>
          <w:rFonts w:asciiTheme="majorBidi" w:hAnsiTheme="majorBidi" w:cstheme="majorBidi"/>
        </w:rPr>
        <w:t xml:space="preserve">Richard Briffault, </w:t>
      </w:r>
      <w:r>
        <w:rPr>
          <w:rFonts w:asciiTheme="majorBidi" w:hAnsiTheme="majorBidi" w:cstheme="majorBidi"/>
          <w:i/>
          <w:iCs/>
        </w:rPr>
        <w:t>Who Rules at Home?: One Person/One Vote and Local Governments</w:t>
      </w:r>
      <w:r>
        <w:rPr>
          <w:rFonts w:asciiTheme="majorBidi" w:hAnsiTheme="majorBidi" w:cstheme="majorBidi"/>
        </w:rPr>
        <w:t xml:space="preserve">, 60 </w:t>
      </w:r>
      <w:r>
        <w:rPr>
          <w:rFonts w:asciiTheme="majorBidi" w:hAnsiTheme="majorBidi" w:cstheme="majorBidi"/>
          <w:smallCaps/>
        </w:rPr>
        <w:t>U. Chi. L. Rev.</w:t>
      </w:r>
      <w:r>
        <w:rPr>
          <w:rFonts w:asciiTheme="majorBidi" w:hAnsiTheme="majorBidi" w:cstheme="majorBidi"/>
        </w:rPr>
        <w:t xml:space="preserve"> 339 (1993)</w:t>
      </w:r>
      <w:r>
        <w:rPr>
          <w:rtl/>
        </w:rPr>
        <w:t>).</w:t>
      </w:r>
    </w:p>
    <w:p w:rsidR="00F32774" w:rsidRDefault="00F32774" w:rsidP="00F32774">
      <w:pPr>
        <w:pStyle w:val="Ruller41"/>
        <w:rPr>
          <w:rtl/>
        </w:rPr>
      </w:pPr>
    </w:p>
    <w:p w:rsidR="00F32774" w:rsidRDefault="00F32774" w:rsidP="00F32774">
      <w:pPr>
        <w:pStyle w:val="Ruller41"/>
        <w:rPr>
          <w:rtl/>
        </w:rPr>
      </w:pPr>
      <w:r>
        <w:rPr>
          <w:rFonts w:hint="cs"/>
          <w:rtl/>
        </w:rPr>
        <w:t>9</w:t>
      </w:r>
      <w:r>
        <w:rPr>
          <w:rtl/>
        </w:rPr>
        <w:t xml:space="preserve">. </w:t>
      </w:r>
      <w:r>
        <w:rPr>
          <w:rtl/>
        </w:rPr>
        <w:tab/>
        <w:t xml:space="preserve">לקראת סיום, אציין כי ההכרה במעמדן הרם של הזכויות לבחור ולהיבחר עמדה במידה רבה במרכז טיעוניהם של הצדדים כולם. למעשה, היא לא הייתה שנויה במחלוקת ביניהם. מסקנותיהם השונות נבעו מאופן האיזון בינן לבין הזכות לשוויון. המשיבים טענו במידה רבה כי מניעת התמודדותו של ראש ועדה ממונה בבחירות מגבילה את זכותו להיבחר, ואף את זכותם של התושבים לבחור בו. אולם, כפי שהראה חברי </w:t>
      </w:r>
      <w:r>
        <w:rPr>
          <w:rFonts w:hint="cs"/>
          <w:rtl/>
        </w:rPr>
        <w:t xml:space="preserve">ממלא מקום </w:t>
      </w:r>
      <w:r>
        <w:rPr>
          <w:rFonts w:hint="cs"/>
          <w:rtl/>
        </w:rPr>
        <w:lastRenderedPageBreak/>
        <w:t>הנשיא</w:t>
      </w:r>
      <w:r>
        <w:rPr>
          <w:rtl/>
        </w:rPr>
        <w:t>, אין משמעות להגנה על הזכויות לבחור ולהיבחר ללא הממד של הגנה שווה על זכויות אלה. נשווה בדעתנו מצב שבו כלל אזרחי המדינה משתתפים בבחירות, אלא שלקולותיהם של אזרחים מסוימים מוקנית עדיפות – זה יהיה מצב שבו נפגעת לא רק הזכות לשוויון אלא גם הזכות לבחור. כך גם בענייננו. כאשר מועמד נהנה מעדיפות מובנית, עדיפות זו פוגעת לא רק בזכות לשוויון של מועמדים אחרים, אלא גם בזכותם להיבחר (וממילא משליכה על המשמעות המעשית של הזכות לבחור בהם). הפרשנות שבה בחרנו בכל הנוגע למועד התחולה של החוק המתקן מגנה אפוא לא רק על הזכות לשוויון, אלא גם על הזכות לבחור והזכות להיבחר.</w:t>
      </w:r>
    </w:p>
    <w:p w:rsidR="00F32774" w:rsidRDefault="00F32774" w:rsidP="00F32774">
      <w:pPr>
        <w:pStyle w:val="Ruller41"/>
        <w:rPr>
          <w:rtl/>
        </w:rPr>
      </w:pPr>
    </w:p>
    <w:p w:rsidR="00F32774" w:rsidRDefault="00F32774" w:rsidP="00F32774">
      <w:pPr>
        <w:pStyle w:val="Ruller41"/>
        <w:rPr>
          <w:rtl/>
        </w:rPr>
      </w:pPr>
    </w:p>
    <w:tbl>
      <w:tblPr>
        <w:bidiVisual/>
        <w:tblW w:w="8363" w:type="dxa"/>
        <w:tblLook w:val="01E0" w:firstRow="1" w:lastRow="1" w:firstColumn="1" w:lastColumn="1" w:noHBand="0" w:noVBand="0"/>
      </w:tblPr>
      <w:tblGrid>
        <w:gridCol w:w="2783"/>
        <w:gridCol w:w="2797"/>
        <w:gridCol w:w="2783"/>
      </w:tblGrid>
      <w:tr w:rsidR="00F32774" w:rsidRPr="00267280" w:rsidTr="002A0D41">
        <w:tc>
          <w:tcPr>
            <w:tcW w:w="2783" w:type="dxa"/>
            <w:shd w:val="clear" w:color="auto" w:fill="auto"/>
          </w:tcPr>
          <w:p w:rsidR="00F32774" w:rsidRPr="00267280" w:rsidRDefault="00F32774" w:rsidP="002A0D41">
            <w:pPr>
              <w:pStyle w:val="Ruller41"/>
              <w:jc w:val="center"/>
              <w:rPr>
                <w:rtl/>
              </w:rPr>
            </w:pPr>
          </w:p>
        </w:tc>
        <w:tc>
          <w:tcPr>
            <w:tcW w:w="2797" w:type="dxa"/>
            <w:shd w:val="clear" w:color="auto" w:fill="auto"/>
          </w:tcPr>
          <w:p w:rsidR="00F32774" w:rsidRPr="00267280" w:rsidRDefault="00F32774" w:rsidP="002A0D41">
            <w:pPr>
              <w:pStyle w:val="Ruller41"/>
              <w:jc w:val="center"/>
              <w:rPr>
                <w:rtl/>
              </w:rPr>
            </w:pPr>
          </w:p>
        </w:tc>
        <w:tc>
          <w:tcPr>
            <w:tcW w:w="2783" w:type="dxa"/>
            <w:shd w:val="clear" w:color="auto" w:fill="auto"/>
          </w:tcPr>
          <w:p w:rsidR="00F32774" w:rsidRPr="00267280" w:rsidRDefault="00F32774" w:rsidP="002A0D41">
            <w:pPr>
              <w:pStyle w:val="Ruller41"/>
              <w:jc w:val="right"/>
              <w:rPr>
                <w:rtl/>
              </w:rPr>
            </w:pPr>
            <w:r>
              <w:rPr>
                <w:rFonts w:hint="cs"/>
                <w:rtl/>
              </w:rPr>
              <w:t>ש ו פ ט ת</w:t>
            </w:r>
          </w:p>
        </w:tc>
      </w:tr>
    </w:tbl>
    <w:p w:rsidR="00C97B4E" w:rsidRDefault="00C97B4E" w:rsidP="00A51FAE">
      <w:pPr>
        <w:pStyle w:val="Ruller41"/>
        <w:rPr>
          <w:rtl/>
        </w:rPr>
      </w:pPr>
    </w:p>
    <w:p w:rsidR="00E3416E" w:rsidRPr="00D57E3F" w:rsidRDefault="00E3416E" w:rsidP="00E3416E">
      <w:pPr>
        <w:pStyle w:val="Ruller41"/>
        <w:rPr>
          <w:rFonts w:ascii="Century" w:hAnsi="Century" w:cs="Miriam"/>
          <w:b/>
          <w:spacing w:val="0"/>
          <w:szCs w:val="24"/>
          <w:rtl/>
        </w:rPr>
      </w:pPr>
      <w:r w:rsidRPr="00D57E3F">
        <w:rPr>
          <w:rFonts w:ascii="Century" w:hAnsi="Century" w:cs="Miriam" w:hint="cs"/>
          <w:b/>
          <w:spacing w:val="0"/>
          <w:szCs w:val="24"/>
          <w:u w:val="single"/>
          <w:rtl/>
        </w:rPr>
        <w:t>השופט</w:t>
      </w:r>
      <w:r>
        <w:rPr>
          <w:rFonts w:ascii="Century" w:hAnsi="Century" w:cs="Miriam" w:hint="cs"/>
          <w:b/>
          <w:spacing w:val="0"/>
          <w:szCs w:val="24"/>
          <w:u w:val="single"/>
          <w:rtl/>
        </w:rPr>
        <w:t>ת</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י</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וילנר</w:t>
      </w:r>
      <w:r>
        <w:rPr>
          <w:rFonts w:ascii="Century" w:hAnsi="Century" w:cs="Miriam" w:hint="cs"/>
          <w:b/>
          <w:spacing w:val="0"/>
          <w:szCs w:val="24"/>
          <w:rtl/>
        </w:rPr>
        <w:t>:</w:t>
      </w:r>
    </w:p>
    <w:p w:rsidR="00E3416E" w:rsidRDefault="00E3416E" w:rsidP="00E3416E">
      <w:pPr>
        <w:pStyle w:val="Ruller41"/>
        <w:rPr>
          <w:rtl/>
        </w:rPr>
      </w:pPr>
    </w:p>
    <w:p w:rsidR="00C72D93" w:rsidRDefault="00C72D93" w:rsidP="00C72D93">
      <w:pPr>
        <w:pStyle w:val="Ruller41"/>
        <w:rPr>
          <w:rtl/>
        </w:rPr>
      </w:pPr>
      <w:r>
        <w:rPr>
          <w:rtl/>
        </w:rPr>
        <w:tab/>
      </w:r>
      <w:r>
        <w:rPr>
          <w:rFonts w:hint="cs"/>
          <w:rtl/>
        </w:rPr>
        <w:t xml:space="preserve">בפסק דיננו החלקי מיום 30.7.2023 קבענו כי יש לפרש את הוראותיו של תיקון מס' 53 לחוק הרשויות המקומיות (בחירות), התשכ"ה-1965 (להלן בהתאמה: </w:t>
      </w:r>
      <w:r>
        <w:rPr>
          <w:rFonts w:ascii="Century" w:hAnsi="Century" w:cs="Miriam" w:hint="cs"/>
          <w:b/>
          <w:spacing w:val="0"/>
          <w:szCs w:val="24"/>
          <w:rtl/>
        </w:rPr>
        <w:t>פסק דיננו החלקי</w:t>
      </w:r>
      <w:r>
        <w:rPr>
          <w:rFonts w:hint="cs"/>
          <w:rtl/>
        </w:rPr>
        <w:t xml:space="preserve"> </w:t>
      </w:r>
      <w:r>
        <w:rPr>
          <w:rFonts w:ascii="Century" w:hAnsi="Century" w:hint="cs"/>
          <w:rtl/>
        </w:rPr>
        <w:t>ו</w:t>
      </w:r>
      <w:r w:rsidRPr="00A8692F">
        <w:rPr>
          <w:rFonts w:ascii="Century" w:hAnsi="Century" w:cs="Miriam" w:hint="cs"/>
          <w:b/>
          <w:spacing w:val="0"/>
          <w:szCs w:val="24"/>
          <w:rtl/>
        </w:rPr>
        <w:t>התיקון</w:t>
      </w:r>
      <w:r>
        <w:rPr>
          <w:rFonts w:hint="cs"/>
          <w:rtl/>
        </w:rPr>
        <w:t xml:space="preserve">), כך שהן לא יחולו על הבחירות הקרובות לרשויות המקומיות שהיו צפויות להתקיים ביום 31.10.2023 (ובינתיים נדחו בשל המלחמה). לגישתי </w:t>
      </w:r>
      <w:r>
        <w:rPr>
          <w:rtl/>
        </w:rPr>
        <w:t>–</w:t>
      </w:r>
      <w:r>
        <w:rPr>
          <w:rFonts w:hint="cs"/>
          <w:rtl/>
        </w:rPr>
        <w:t xml:space="preserve"> וכפי שקבע גם חברי, ממלא מקום הנשיא, </w:t>
      </w:r>
      <w:r>
        <w:rPr>
          <w:rFonts w:ascii="Century" w:hAnsi="Century" w:cs="Miriam" w:hint="cs"/>
          <w:b/>
          <w:spacing w:val="0"/>
          <w:szCs w:val="24"/>
          <w:rtl/>
        </w:rPr>
        <w:t>ע' פוגלמן</w:t>
      </w:r>
      <w:r>
        <w:rPr>
          <w:rFonts w:ascii="Century" w:hAnsi="Century" w:hint="cs"/>
          <w:rtl/>
        </w:rPr>
        <w:t xml:space="preserve"> </w:t>
      </w:r>
      <w:r>
        <w:rPr>
          <w:rFonts w:ascii="Century" w:hAnsi="Century"/>
          <w:rtl/>
        </w:rPr>
        <w:t>–</w:t>
      </w:r>
      <w:r>
        <w:rPr>
          <w:rFonts w:hint="cs"/>
          <w:rtl/>
        </w:rPr>
        <w:t xml:space="preserve"> תוצאה זו נובעת בענייננו מהכלל הידוע בדיני בחירות, שלפיו "אין משנים את כללי המשחק תוך כדי משחק".</w:t>
      </w:r>
    </w:p>
    <w:p w:rsidR="00C72D93" w:rsidRDefault="00C72D93" w:rsidP="00C72D93">
      <w:pPr>
        <w:pStyle w:val="Ruller41"/>
        <w:rPr>
          <w:rtl/>
        </w:rPr>
      </w:pPr>
    </w:p>
    <w:p w:rsidR="00C72D93" w:rsidRDefault="00C72D93" w:rsidP="00C72D93">
      <w:pPr>
        <w:pStyle w:val="Ruller41"/>
        <w:rPr>
          <w:rFonts w:ascii="Century" w:hAnsi="Century"/>
          <w:rtl/>
        </w:rPr>
      </w:pPr>
      <w:r>
        <w:rPr>
          <w:rtl/>
        </w:rPr>
        <w:tab/>
      </w:r>
      <w:r>
        <w:rPr>
          <w:rFonts w:hint="cs"/>
          <w:rtl/>
        </w:rPr>
        <w:t>כפי שציין חברי ממלא מקום הנשיא</w:t>
      </w:r>
      <w:r>
        <w:rPr>
          <w:rFonts w:ascii="Century" w:hAnsi="Century" w:hint="cs"/>
          <w:rtl/>
        </w:rPr>
        <w:t>,</w:t>
      </w:r>
      <w:r>
        <w:rPr>
          <w:rFonts w:hint="cs"/>
          <w:rtl/>
        </w:rPr>
        <w:t xml:space="preserve"> הלכה מושרשת עמנו כי חזקה על חוק שתחולתו מכוונת כלפי העתיד ולא כלפי העבר (ראו, למשל:</w:t>
      </w:r>
      <w:r w:rsidRPr="00ED224E">
        <w:rPr>
          <w:rFonts w:hint="cs"/>
          <w:rtl/>
        </w:rPr>
        <w:t xml:space="preserve"> </w:t>
      </w:r>
      <w:r w:rsidRPr="003E4F42">
        <w:rPr>
          <w:rFonts w:hint="cs"/>
          <w:rtl/>
        </w:rPr>
        <w:t xml:space="preserve">עע"א 1613/91 </w:t>
      </w:r>
      <w:r w:rsidRPr="003E4F42">
        <w:rPr>
          <w:rFonts w:ascii="Century" w:hAnsi="Century" w:cs="Miriam" w:hint="cs"/>
          <w:b/>
          <w:spacing w:val="0"/>
          <w:szCs w:val="24"/>
          <w:rtl/>
        </w:rPr>
        <w:t>ארביב נ' מדינת ישראל</w:t>
      </w:r>
      <w:r w:rsidRPr="003E4F42">
        <w:rPr>
          <w:rFonts w:ascii="Century" w:hAnsi="Century" w:hint="cs"/>
          <w:rtl/>
        </w:rPr>
        <w:t>, פ"</w:t>
      </w:r>
      <w:r w:rsidRPr="003E4F42">
        <w:rPr>
          <w:rFonts w:hint="cs"/>
          <w:rtl/>
        </w:rPr>
        <w:t xml:space="preserve">ד מו(2) 765, </w:t>
      </w:r>
      <w:r>
        <w:rPr>
          <w:rFonts w:hint="cs"/>
          <w:rtl/>
        </w:rPr>
        <w:t>776-775 וההפניות שם</w:t>
      </w:r>
      <w:r w:rsidRPr="003E4F42">
        <w:rPr>
          <w:rFonts w:hint="cs"/>
          <w:rtl/>
        </w:rPr>
        <w:t xml:space="preserve"> (1992)</w:t>
      </w:r>
      <w:r>
        <w:rPr>
          <w:rFonts w:hint="cs"/>
          <w:rtl/>
        </w:rPr>
        <w:t xml:space="preserve">; אהרן ברק </w:t>
      </w:r>
      <w:r>
        <w:rPr>
          <w:rFonts w:ascii="Century" w:hAnsi="Century" w:cs="Miriam" w:hint="cs"/>
          <w:b/>
          <w:spacing w:val="0"/>
          <w:szCs w:val="24"/>
          <w:rtl/>
        </w:rPr>
        <w:t xml:space="preserve">פרשנות במשפט </w:t>
      </w:r>
      <w:r>
        <w:rPr>
          <w:rFonts w:ascii="Century" w:hAnsi="Century" w:cs="Miriam"/>
          <w:b/>
          <w:spacing w:val="0"/>
          <w:szCs w:val="24"/>
          <w:rtl/>
        </w:rPr>
        <w:t>–</w:t>
      </w:r>
      <w:r>
        <w:rPr>
          <w:rFonts w:ascii="Century" w:hAnsi="Century" w:cs="Miriam" w:hint="cs"/>
          <w:b/>
          <w:spacing w:val="0"/>
          <w:szCs w:val="24"/>
          <w:rtl/>
        </w:rPr>
        <w:t xml:space="preserve"> פרשנות החקיקה </w:t>
      </w:r>
      <w:r>
        <w:rPr>
          <w:rFonts w:hint="cs"/>
          <w:rtl/>
        </w:rPr>
        <w:t xml:space="preserve">619-617 (התשנ"ג)). בשים לב לכך; לנוכח הכלל בדיני בחירות, שלפיו אין משנים את הכללים של מערכת בחירות שכבר החלה (ראו, לדוגמא: בג"ץ 7181/08 </w:t>
      </w:r>
      <w:r>
        <w:rPr>
          <w:rFonts w:ascii="Century" w:hAnsi="Century" w:cs="Miriam" w:hint="cs"/>
          <w:b/>
          <w:spacing w:val="0"/>
          <w:szCs w:val="24"/>
          <w:rtl/>
        </w:rPr>
        <w:t>לוינטל נ' שר הפנים</w:t>
      </w:r>
      <w:r>
        <w:rPr>
          <w:rFonts w:ascii="Century" w:hAnsi="Century" w:hint="cs"/>
          <w:rtl/>
        </w:rPr>
        <w:t xml:space="preserve">, </w:t>
      </w:r>
      <w:r w:rsidRPr="00ED224E">
        <w:rPr>
          <w:rFonts w:ascii="Century" w:hAnsi="Century" w:hint="cs"/>
          <w:rtl/>
        </w:rPr>
        <w:t>פס' 11 והאסמכתאות שם</w:t>
      </w:r>
      <w:r>
        <w:rPr>
          <w:rFonts w:ascii="Century" w:hAnsi="Century" w:cs="Miriam" w:hint="cs"/>
          <w:b/>
          <w:spacing w:val="0"/>
          <w:szCs w:val="24"/>
          <w:rtl/>
        </w:rPr>
        <w:t xml:space="preserve"> </w:t>
      </w:r>
      <w:r>
        <w:rPr>
          <w:rFonts w:ascii="Century" w:hAnsi="Century" w:hint="cs"/>
          <w:rtl/>
        </w:rPr>
        <w:t>(10.11.2008)</w:t>
      </w:r>
      <w:r>
        <w:rPr>
          <w:rFonts w:hint="cs"/>
          <w:rtl/>
        </w:rPr>
        <w:t xml:space="preserve">); בהינתן שלא נקבע בתיקון מס' 53 כי הוראתו חלה על מערכת הבחירות מושא ההליך דנן; ובשים לב להיסטוריה החקיקתית של התיקון, שממנה עולה כי המחוקק לא התכוון בענייננו "לשנות את כללי המשחק תוך כדי המשחק" (ראו: פס' 42 לחוות דעתו של ממלא מקום הנשיא) </w:t>
      </w:r>
      <w:r>
        <w:rPr>
          <w:rtl/>
        </w:rPr>
        <w:t>–</w:t>
      </w:r>
      <w:r>
        <w:rPr>
          <w:rFonts w:hint="cs"/>
          <w:rtl/>
        </w:rPr>
        <w:t xml:space="preserve"> הרי שאין להחיל את הוראת התיקון על מערכת בחירות זו, אשר</w:t>
      </w:r>
      <w:r w:rsidRPr="00E7273E">
        <w:rPr>
          <w:rFonts w:ascii="Century" w:hAnsi="Century" w:hint="cs"/>
          <w:rtl/>
        </w:rPr>
        <w:t xml:space="preserve"> </w:t>
      </w:r>
      <w:r>
        <w:rPr>
          <w:rFonts w:hint="cs"/>
          <w:rtl/>
        </w:rPr>
        <w:t xml:space="preserve">בהתאם להלכה שנקבעה בעניין </w:t>
      </w:r>
      <w:r>
        <w:rPr>
          <w:rFonts w:ascii="Century" w:hAnsi="Century" w:cs="Miriam" w:hint="cs"/>
          <w:b/>
          <w:spacing w:val="0"/>
          <w:szCs w:val="24"/>
          <w:rtl/>
        </w:rPr>
        <w:t>לוינטל</w:t>
      </w:r>
      <w:r>
        <w:rPr>
          <w:rFonts w:ascii="Century" w:hAnsi="Century" w:hint="cs"/>
          <w:rtl/>
        </w:rPr>
        <w:t>, החלה בטרם נכנס לתוקף תיקון מס' 53</w:t>
      </w:r>
      <w:r>
        <w:rPr>
          <w:rFonts w:hint="cs"/>
          <w:rtl/>
        </w:rPr>
        <w:t>.</w:t>
      </w:r>
    </w:p>
    <w:p w:rsidR="00C72D93" w:rsidRDefault="00C72D93" w:rsidP="00C72D93">
      <w:pPr>
        <w:pStyle w:val="Ruller41"/>
        <w:rPr>
          <w:rFonts w:ascii="Century" w:hAnsi="Century"/>
          <w:rtl/>
        </w:rPr>
      </w:pPr>
    </w:p>
    <w:p w:rsidR="00C72D93" w:rsidRPr="00E7273E" w:rsidRDefault="00C72D93" w:rsidP="00C72D93">
      <w:pPr>
        <w:pStyle w:val="Ruller41"/>
        <w:rPr>
          <w:rFonts w:ascii="Century" w:hAnsi="Century"/>
        </w:rPr>
      </w:pPr>
      <w:r>
        <w:rPr>
          <w:rFonts w:ascii="Century" w:hAnsi="Century"/>
          <w:rtl/>
        </w:rPr>
        <w:lastRenderedPageBreak/>
        <w:tab/>
      </w:r>
      <w:r>
        <w:rPr>
          <w:rFonts w:ascii="Century" w:hAnsi="Century" w:hint="cs"/>
          <w:rtl/>
        </w:rPr>
        <w:t xml:space="preserve">לגישתי, די באמור לעיל כדי להוביל לתוצאה שאליה הגענו בפסק דיננו החלקי. לפיכך, אינני נדרשת לטעמים הנוספים שעומדים בבסיס פסק דינו המקיף והמנומק של חברי, ממלא מקום הנשיא, שעניינם סוגיית הפרסונליות של התיקון, וסוגיית קיומם של רבדים רטרוספקטיביים בתיקון שאינם נוגעים ל"שינוי כללי המשחק תוך כדי משחק". כפי שציין חברי, מושג הרטרוספקטיביות הוא סבוך ומורכב, ואיני סבורה כי יישומו המלא בענייננו נחוץ לצורך ביסוס פסק דיננו החלקי. ביחס לשאלת הפרסונליות, הרי שאין בדין הישראלי, למיטב הבנתי, תשובות </w:t>
      </w:r>
      <w:r w:rsidRPr="00F80143">
        <w:rPr>
          <w:rFonts w:ascii="Century" w:hAnsi="Century" w:hint="cs"/>
          <w:b/>
          <w:spacing w:val="0"/>
          <w:rtl/>
        </w:rPr>
        <w:t>ברורות</w:t>
      </w:r>
      <w:r>
        <w:rPr>
          <w:rFonts w:ascii="Century" w:hAnsi="Century" w:hint="cs"/>
          <w:rtl/>
        </w:rPr>
        <w:t xml:space="preserve"> לשאלות מהו חוק פרסונלי, או מהי המשמעות המשפטית של היותו של חוק פרסונלי.</w:t>
      </w:r>
      <w:r w:rsidRPr="006B30FD">
        <w:rPr>
          <w:rFonts w:ascii="Century" w:hAnsi="Century" w:hint="cs"/>
          <w:rtl/>
        </w:rPr>
        <w:t xml:space="preserve"> </w:t>
      </w:r>
      <w:r>
        <w:rPr>
          <w:rFonts w:ascii="Century" w:hAnsi="Century" w:hint="cs"/>
          <w:rtl/>
        </w:rPr>
        <w:t>איני רואה להידרש במסגרת זו לשאלות כבדות-משקל אלו, בהינתן שכאמור לעיל, דעתי היא כי די בכך שהתיקון משנה את הכללים של מערכת הבחירות הקרובה לאחר שזו כבר החלה, כדי להוביל לתוצאת פסק דיננו החלקי.</w:t>
      </w:r>
    </w:p>
    <w:p w:rsidR="00C72D93" w:rsidRPr="00A4401F" w:rsidRDefault="00C72D93" w:rsidP="00C72D93">
      <w:pPr>
        <w:pStyle w:val="Ruller41"/>
        <w:rPr>
          <w:rtl/>
        </w:rPr>
      </w:pPr>
    </w:p>
    <w:p w:rsidR="00E3416E" w:rsidRDefault="00E3416E" w:rsidP="00E3416E">
      <w:pPr>
        <w:pStyle w:val="Ruller41"/>
        <w:rPr>
          <w:rtl/>
        </w:rPr>
      </w:pPr>
    </w:p>
    <w:tbl>
      <w:tblPr>
        <w:bidiVisual/>
        <w:tblW w:w="8363" w:type="dxa"/>
        <w:tblLook w:val="01E0" w:firstRow="1" w:lastRow="1" w:firstColumn="1" w:lastColumn="1" w:noHBand="0" w:noVBand="0"/>
      </w:tblPr>
      <w:tblGrid>
        <w:gridCol w:w="2783"/>
        <w:gridCol w:w="2797"/>
        <w:gridCol w:w="2783"/>
      </w:tblGrid>
      <w:tr w:rsidR="00E3416E" w:rsidRPr="00267280" w:rsidTr="002A0D41">
        <w:tc>
          <w:tcPr>
            <w:tcW w:w="2783" w:type="dxa"/>
            <w:shd w:val="clear" w:color="auto" w:fill="auto"/>
          </w:tcPr>
          <w:p w:rsidR="00E3416E" w:rsidRPr="00267280" w:rsidRDefault="00E3416E" w:rsidP="002A0D41">
            <w:pPr>
              <w:pStyle w:val="Ruller41"/>
              <w:jc w:val="center"/>
              <w:rPr>
                <w:rtl/>
              </w:rPr>
            </w:pPr>
          </w:p>
        </w:tc>
        <w:tc>
          <w:tcPr>
            <w:tcW w:w="2797" w:type="dxa"/>
            <w:shd w:val="clear" w:color="auto" w:fill="auto"/>
          </w:tcPr>
          <w:p w:rsidR="00E3416E" w:rsidRPr="00267280" w:rsidRDefault="00E3416E" w:rsidP="002A0D41">
            <w:pPr>
              <w:pStyle w:val="Ruller41"/>
              <w:jc w:val="center"/>
              <w:rPr>
                <w:rtl/>
              </w:rPr>
            </w:pPr>
          </w:p>
        </w:tc>
        <w:tc>
          <w:tcPr>
            <w:tcW w:w="2783" w:type="dxa"/>
            <w:shd w:val="clear" w:color="auto" w:fill="auto"/>
          </w:tcPr>
          <w:p w:rsidR="00E3416E" w:rsidRPr="00267280" w:rsidRDefault="00E3416E" w:rsidP="002A0D41">
            <w:pPr>
              <w:pStyle w:val="Ruller41"/>
              <w:jc w:val="right"/>
              <w:rPr>
                <w:rtl/>
              </w:rPr>
            </w:pPr>
            <w:r>
              <w:rPr>
                <w:rFonts w:hint="cs"/>
                <w:rtl/>
              </w:rPr>
              <w:t>ש ו פ ט ת</w:t>
            </w:r>
          </w:p>
        </w:tc>
      </w:tr>
    </w:tbl>
    <w:p w:rsidR="00E3416E" w:rsidRDefault="00E3416E" w:rsidP="00E3416E">
      <w:pPr>
        <w:pStyle w:val="Ruller41"/>
        <w:rPr>
          <w:rtl/>
        </w:rPr>
      </w:pPr>
    </w:p>
    <w:p w:rsidR="00BB1321" w:rsidRPr="00D57E3F" w:rsidRDefault="00BB1321" w:rsidP="00BB1321">
      <w:pPr>
        <w:pStyle w:val="Ruller41"/>
        <w:rPr>
          <w:rFonts w:ascii="Century" w:hAnsi="Century" w:cs="Miriam"/>
          <w:b/>
          <w:spacing w:val="0"/>
          <w:szCs w:val="24"/>
          <w:rtl/>
        </w:rPr>
      </w:pPr>
      <w:r w:rsidRPr="00D57E3F">
        <w:rPr>
          <w:rFonts w:ascii="Century" w:hAnsi="Century" w:cs="Miriam" w:hint="cs"/>
          <w:b/>
          <w:spacing w:val="0"/>
          <w:szCs w:val="24"/>
          <w:u w:val="single"/>
          <w:rtl/>
        </w:rPr>
        <w:t xml:space="preserve">השופט </w:t>
      </w:r>
      <w:r>
        <w:rPr>
          <w:rFonts w:ascii="Century" w:hAnsi="Century" w:cs="Miriam" w:hint="cs"/>
          <w:b/>
          <w:spacing w:val="0"/>
          <w:szCs w:val="24"/>
          <w:u w:val="single"/>
          <w:rtl/>
        </w:rPr>
        <w:t>נ</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סולבר</w:t>
      </w:r>
      <w:r w:rsidRPr="00FC3C01">
        <w:rPr>
          <w:rFonts w:ascii="Century" w:hAnsi="Century" w:cs="Miriam" w:hint="cs"/>
          <w:b/>
          <w:spacing w:val="0"/>
          <w:szCs w:val="24"/>
          <w:u w:val="single"/>
          <w:rtl/>
        </w:rPr>
        <w:t>ג</w:t>
      </w:r>
      <w:r>
        <w:rPr>
          <w:rFonts w:ascii="Century" w:hAnsi="Century" w:cs="Miriam" w:hint="cs"/>
          <w:b/>
          <w:spacing w:val="0"/>
          <w:szCs w:val="24"/>
          <w:rtl/>
        </w:rPr>
        <w:t>:</w:t>
      </w:r>
    </w:p>
    <w:p w:rsidR="00FC3C01" w:rsidRDefault="00FC3C01" w:rsidP="00FC3C01">
      <w:pPr>
        <w:pStyle w:val="Ruller4"/>
        <w:numPr>
          <w:ilvl w:val="0"/>
          <w:numId w:val="0"/>
        </w:numPr>
        <w:textAlignment w:val="auto"/>
      </w:pPr>
    </w:p>
    <w:p w:rsidR="00C413FD" w:rsidRDefault="00C413FD" w:rsidP="00E53976">
      <w:pPr>
        <w:pStyle w:val="Ruller4"/>
        <w:numPr>
          <w:ilvl w:val="0"/>
          <w:numId w:val="26"/>
        </w:numPr>
        <w:tabs>
          <w:tab w:val="clear" w:pos="907"/>
          <w:tab w:val="num" w:pos="1049"/>
        </w:tabs>
        <w:textAlignment w:val="auto"/>
        <w:rPr>
          <w:rtl/>
        </w:rPr>
      </w:pPr>
      <w:r>
        <w:rPr>
          <w:rFonts w:hint="cs"/>
          <w:rtl/>
        </w:rPr>
        <w:t xml:space="preserve">כזכור, </w:t>
      </w:r>
      <w:r>
        <w:rPr>
          <w:rtl/>
        </w:rPr>
        <w:t xml:space="preserve">פה אחד, </w:t>
      </w:r>
      <w:r>
        <w:rPr>
          <w:rFonts w:hint="cs"/>
          <w:rtl/>
        </w:rPr>
        <w:t xml:space="preserve">החלטנו </w:t>
      </w:r>
      <w:r>
        <w:rPr>
          <w:rtl/>
        </w:rPr>
        <w:t xml:space="preserve">כי הוראות תיקון מס' 53 לחוק הרשויות המקומיות (בחירות), התשכ"ה-1965 (להלן: </w:t>
      </w:r>
      <w:r w:rsidRPr="0058375C">
        <w:rPr>
          <w:rFonts w:ascii="Century" w:hAnsi="Century" w:cs="Miriam"/>
          <w:b/>
          <w:spacing w:val="0"/>
          <w:sz w:val="22"/>
          <w:szCs w:val="24"/>
          <w:rtl/>
        </w:rPr>
        <w:t>תיקון 53</w:t>
      </w:r>
      <w:r>
        <w:rPr>
          <w:rtl/>
        </w:rPr>
        <w:t xml:space="preserve"> או </w:t>
      </w:r>
      <w:r w:rsidRPr="0058375C">
        <w:rPr>
          <w:rFonts w:ascii="Century" w:hAnsi="Century" w:cs="Miriam"/>
          <w:b/>
          <w:spacing w:val="0"/>
          <w:sz w:val="22"/>
          <w:szCs w:val="24"/>
          <w:rtl/>
        </w:rPr>
        <w:t>התיקון</w:t>
      </w:r>
      <w:r>
        <w:rPr>
          <w:rtl/>
        </w:rPr>
        <w:t>), יפורשו באופן שלא תהא להן תחולה על הבחירות הקרובות לרשויות המקומיות</w:t>
      </w:r>
      <w:r w:rsidR="00E53976">
        <w:rPr>
          <w:rFonts w:hint="cs"/>
          <w:rtl/>
        </w:rPr>
        <w:t>.</w:t>
      </w:r>
      <w:r>
        <w:rPr>
          <w:rFonts w:hint="cs"/>
          <w:rtl/>
        </w:rPr>
        <w:t xml:space="preserve"> חברי, מ"מ </w:t>
      </w:r>
      <w:r>
        <w:rPr>
          <w:rFonts w:ascii="Century" w:hAnsi="Century" w:hint="cs"/>
          <w:sz w:val="22"/>
          <w:rtl/>
        </w:rPr>
        <w:t>ה</w:t>
      </w:r>
      <w:r w:rsidRPr="00B11976">
        <w:rPr>
          <w:rFonts w:ascii="Century" w:hAnsi="Century" w:hint="cs"/>
          <w:sz w:val="22"/>
          <w:rtl/>
        </w:rPr>
        <w:t xml:space="preserve">נשיא, </w:t>
      </w:r>
      <w:r w:rsidRPr="0058375C">
        <w:rPr>
          <w:rFonts w:ascii="Century" w:hAnsi="Century" w:cs="Miriam"/>
          <w:b/>
          <w:spacing w:val="0"/>
          <w:sz w:val="22"/>
          <w:szCs w:val="24"/>
          <w:rtl/>
        </w:rPr>
        <w:t>ע'</w:t>
      </w:r>
      <w:r>
        <w:rPr>
          <w:rtl/>
        </w:rPr>
        <w:t xml:space="preserve"> </w:t>
      </w:r>
      <w:r w:rsidRPr="0058375C">
        <w:rPr>
          <w:rFonts w:ascii="Century" w:hAnsi="Century" w:cs="Miriam"/>
          <w:b/>
          <w:spacing w:val="0"/>
          <w:sz w:val="22"/>
          <w:szCs w:val="24"/>
          <w:rtl/>
        </w:rPr>
        <w:t>פוגלמן</w:t>
      </w:r>
      <w:r w:rsidRPr="0058375C">
        <w:rPr>
          <w:rFonts w:ascii="Century" w:hAnsi="Century" w:hint="cs"/>
          <w:sz w:val="22"/>
          <w:rtl/>
        </w:rPr>
        <w:t>,</w:t>
      </w:r>
      <w:r>
        <w:rPr>
          <w:rtl/>
        </w:rPr>
        <w:t xml:space="preserve"> פרש</w:t>
      </w:r>
      <w:r>
        <w:rPr>
          <w:rFonts w:hint="cs"/>
          <w:rtl/>
        </w:rPr>
        <w:t>ׂ</w:t>
      </w:r>
      <w:r>
        <w:rPr>
          <w:rtl/>
        </w:rPr>
        <w:t xml:space="preserve"> לפנינו שולחן ערוך בנימוקים</w:t>
      </w:r>
      <w:r>
        <w:rPr>
          <w:rFonts w:hint="cs"/>
          <w:rtl/>
        </w:rPr>
        <w:t xml:space="preserve">. </w:t>
      </w:r>
      <w:r>
        <w:rPr>
          <w:rtl/>
        </w:rPr>
        <w:t>דרכי להגיע לתוצאה האמורה אינה זהה לדרך הילוכו</w:t>
      </w:r>
      <w:r>
        <w:rPr>
          <w:rFonts w:hint="cs"/>
          <w:rtl/>
        </w:rPr>
        <w:t xml:space="preserve">. אסביר. </w:t>
      </w:r>
    </w:p>
    <w:p w:rsidR="00C413FD" w:rsidRPr="0058375C"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חברי </w:t>
      </w:r>
      <w:r>
        <w:rPr>
          <w:rFonts w:hint="cs"/>
          <w:rtl/>
        </w:rPr>
        <w:t>עמד</w:t>
      </w:r>
      <w:r>
        <w:rPr>
          <w:rtl/>
        </w:rPr>
        <w:t xml:space="preserve"> על הקשיים שלטעמו מעורר </w:t>
      </w:r>
      <w:r w:rsidRPr="00752076">
        <w:rPr>
          <w:rFonts w:ascii="Century" w:hAnsi="Century" w:cs="Miriam"/>
          <w:b/>
          <w:spacing w:val="0"/>
          <w:sz w:val="22"/>
          <w:szCs w:val="24"/>
          <w:rtl/>
        </w:rPr>
        <w:t>תוכן</w:t>
      </w:r>
      <w:r>
        <w:rPr>
          <w:rtl/>
        </w:rPr>
        <w:t xml:space="preserve"> ההסדר שנקבע בתיקון 53 – כרסום באופיו הא-פוליטי והמקצועי של מוסד הוועדות הממונות, ופגיעה בשוויון ההזדמנויות שבין המועמדים בבחירות המקומיות. </w:t>
      </w:r>
      <w:r>
        <w:rPr>
          <w:rFonts w:hint="cs"/>
          <w:rtl/>
        </w:rPr>
        <w:t xml:space="preserve">בהמשך </w:t>
      </w:r>
      <w:r>
        <w:rPr>
          <w:rtl/>
        </w:rPr>
        <w:t xml:space="preserve">פרט חברי את הקשיים הטמונים, לשיטתו, </w:t>
      </w:r>
      <w:r w:rsidRPr="00752076">
        <w:rPr>
          <w:rFonts w:ascii="Century" w:hAnsi="Century" w:cs="Miriam"/>
          <w:b/>
          <w:spacing w:val="0"/>
          <w:sz w:val="22"/>
          <w:szCs w:val="24"/>
          <w:rtl/>
        </w:rPr>
        <w:t>בעיתוי תחולתו</w:t>
      </w:r>
      <w:r>
        <w:rPr>
          <w:rtl/>
        </w:rPr>
        <w:t xml:space="preserve"> של תיקון 53, קרי</w:t>
      </w:r>
      <w:r>
        <w:rPr>
          <w:rFonts w:hint="cs"/>
          <w:rtl/>
        </w:rPr>
        <w:t xml:space="preserve"> </w:t>
      </w:r>
      <w:r>
        <w:rPr>
          <w:rtl/>
        </w:rPr>
        <w:t>–</w:t>
      </w:r>
      <w:r>
        <w:rPr>
          <w:rFonts w:hint="cs"/>
          <w:rtl/>
        </w:rPr>
        <w:t xml:space="preserve"> ח</w:t>
      </w:r>
      <w:r>
        <w:rPr>
          <w:rtl/>
        </w:rPr>
        <w:t xml:space="preserve">לותו גם על מערכת הבחירות </w:t>
      </w:r>
      <w:r>
        <w:rPr>
          <w:rFonts w:hint="cs"/>
          <w:rtl/>
        </w:rPr>
        <w:t xml:space="preserve">הקרובה </w:t>
      </w:r>
      <w:r>
        <w:rPr>
          <w:rtl/>
        </w:rPr>
        <w:t>לרשויות המקומיות</w:t>
      </w:r>
      <w:r>
        <w:rPr>
          <w:rFonts w:hint="cs"/>
          <w:rtl/>
        </w:rPr>
        <w:t>.</w:t>
      </w:r>
      <w:r>
        <w:rPr>
          <w:rtl/>
        </w:rPr>
        <w:t xml:space="preserve"> קשיים אלה, לגישתו, הם בעיקרם שנ</w:t>
      </w:r>
      <w:r>
        <w:rPr>
          <w:rFonts w:hint="cs"/>
          <w:rtl/>
        </w:rPr>
        <w:t>י</w:t>
      </w:r>
      <w:r>
        <w:rPr>
          <w:rtl/>
        </w:rPr>
        <w:t>י</w:t>
      </w:r>
      <w:r>
        <w:rPr>
          <w:rFonts w:hint="cs"/>
          <w:rtl/>
        </w:rPr>
        <w:t>ם</w:t>
      </w:r>
      <w:r>
        <w:rPr>
          <w:rtl/>
        </w:rPr>
        <w:t>: ראשית, שינוי כללי הבחירות תוך כדי תקופת הבחירות; שנית, היותו של תיקון 53 פרסונלי, ב</w:t>
      </w:r>
      <w:r>
        <w:rPr>
          <w:rFonts w:hint="cs"/>
          <w:rtl/>
        </w:rPr>
        <w:t xml:space="preserve">אשר הוא </w:t>
      </w:r>
      <w:r>
        <w:rPr>
          <w:rtl/>
        </w:rPr>
        <w:t>מכוּון לאפשר למשיב 4, מר בועז יוסף, להתמודד בבחירות הקרובות לראשות העיר טבריה. ואולם, על רקע העדר הכרעה ברורה בפסיקה בשאלת מעמדה החוקתי של הזכות לבחור ולהיבחר לרשות המקומית, ושל הזכות לשוויון בהקשר של בחירות אלו, ועל יסוד הכלל, שלפיו הידרשות לביקורת חוקתית על תוקפו של חוק הרֵיה</w:t>
      </w:r>
      <w:r w:rsidRPr="00752076">
        <w:rPr>
          <w:rtl/>
        </w:rPr>
        <w:t xml:space="preserve">י </w:t>
      </w:r>
      <w:r>
        <w:rPr>
          <w:rtl/>
        </w:rPr>
        <w:t>'מוצא אחרון'</w:t>
      </w:r>
      <w:r>
        <w:rPr>
          <w:rFonts w:hint="cs"/>
          <w:rtl/>
        </w:rPr>
        <w:t>,</w:t>
      </w:r>
      <w:r>
        <w:rPr>
          <w:rtl/>
        </w:rPr>
        <w:t xml:space="preserve"> הוסיף </w:t>
      </w:r>
      <w:r>
        <w:rPr>
          <w:rFonts w:hint="cs"/>
          <w:rtl/>
        </w:rPr>
        <w:t xml:space="preserve">חברי </w:t>
      </w:r>
      <w:r>
        <w:rPr>
          <w:rtl/>
        </w:rPr>
        <w:t xml:space="preserve">וקבע </w:t>
      </w:r>
      <w:r>
        <w:rPr>
          <w:rtl/>
        </w:rPr>
        <w:lastRenderedPageBreak/>
        <w:t>–</w:t>
      </w:r>
      <w:r>
        <w:rPr>
          <w:rFonts w:hint="cs"/>
          <w:rtl/>
        </w:rPr>
        <w:t xml:space="preserve"> וגישה עקרונית זו מקובלת עלי </w:t>
      </w:r>
      <w:r>
        <w:rPr>
          <w:rtl/>
        </w:rPr>
        <w:t>–</w:t>
      </w:r>
      <w:r>
        <w:rPr>
          <w:rFonts w:hint="cs"/>
          <w:rtl/>
        </w:rPr>
        <w:t xml:space="preserve"> כי </w:t>
      </w:r>
      <w:r>
        <w:rPr>
          <w:rtl/>
        </w:rPr>
        <w:t>מוטב לֵילֵך</w:t>
      </w:r>
      <w:r>
        <w:rPr>
          <w:rFonts w:hint="cs"/>
          <w:rtl/>
        </w:rPr>
        <w:t>ְ</w:t>
      </w:r>
      <w:r>
        <w:rPr>
          <w:rtl/>
        </w:rPr>
        <w:t xml:space="preserve"> במשעול פרשני שעניינו במועד תחולתו של תיקון 53, מ</w:t>
      </w:r>
      <w:r>
        <w:rPr>
          <w:rFonts w:hint="cs"/>
          <w:rtl/>
        </w:rPr>
        <w:t xml:space="preserve">אשר </w:t>
      </w:r>
      <w:r>
        <w:rPr>
          <w:rtl/>
        </w:rPr>
        <w:t>לֵילֵך</w:t>
      </w:r>
      <w:r>
        <w:rPr>
          <w:rFonts w:hint="cs"/>
          <w:rtl/>
        </w:rPr>
        <w:t>ְ</w:t>
      </w:r>
      <w:r>
        <w:rPr>
          <w:rtl/>
        </w:rPr>
        <w:t xml:space="preserve"> בנתיב החוקתי הנוגע לעצם חוקתיות התיקון. </w:t>
      </w:r>
    </w:p>
    <w:p w:rsidR="00C413FD" w:rsidRDefault="00C413FD" w:rsidP="00C413FD">
      <w:pPr>
        <w:pStyle w:val="Ruller41"/>
        <w:rPr>
          <w:rtl/>
        </w:rPr>
      </w:pPr>
    </w:p>
    <w:p w:rsidR="00C413FD" w:rsidRDefault="00C413FD" w:rsidP="00C413FD">
      <w:pPr>
        <w:pStyle w:val="Ruller4"/>
        <w:numPr>
          <w:ilvl w:val="0"/>
          <w:numId w:val="26"/>
        </w:numPr>
        <w:tabs>
          <w:tab w:val="clear" w:pos="907"/>
          <w:tab w:val="num" w:pos="1049"/>
        </w:tabs>
        <w:textAlignment w:val="auto"/>
        <w:rPr>
          <w:rtl/>
        </w:rPr>
      </w:pPr>
      <w:r>
        <w:rPr>
          <w:rtl/>
        </w:rPr>
        <w:t>אעיר בשולי הדברים</w:t>
      </w:r>
      <w:r>
        <w:rPr>
          <w:rFonts w:hint="cs"/>
          <w:rtl/>
        </w:rPr>
        <w:t>, מב</w:t>
      </w:r>
      <w:r>
        <w:rPr>
          <w:rtl/>
        </w:rPr>
        <w:t>לי לטעת מסמרות</w:t>
      </w:r>
      <w:r>
        <w:rPr>
          <w:rFonts w:hint="cs"/>
          <w:rtl/>
        </w:rPr>
        <w:t xml:space="preserve">, כי </w:t>
      </w:r>
      <w:r>
        <w:rPr>
          <w:rtl/>
        </w:rPr>
        <w:t xml:space="preserve">הטענה </w:t>
      </w:r>
      <w:r>
        <w:rPr>
          <w:rFonts w:hint="cs"/>
          <w:rtl/>
        </w:rPr>
        <w:t>ש</w:t>
      </w:r>
      <w:r>
        <w:rPr>
          <w:rtl/>
        </w:rPr>
        <w:t xml:space="preserve">לפיה תיקון 53 </w:t>
      </w:r>
      <w:r>
        <w:rPr>
          <w:rFonts w:ascii="Century" w:hAnsi="Century" w:cs="Miriam"/>
          <w:b/>
          <w:spacing w:val="0"/>
          <w:sz w:val="22"/>
          <w:szCs w:val="24"/>
          <w:rtl/>
        </w:rPr>
        <w:t>לגופו</w:t>
      </w:r>
      <w:r>
        <w:rPr>
          <w:rtl/>
        </w:rPr>
        <w:t xml:space="preserve"> אינו עומד באמות מידה חוקתיות, אינה פשוטה כלל ועיקר. אכן, תוכן ההסדר שנקבע בתיקון 53, להבדיל ממועד תחולתו, מ</w:t>
      </w:r>
      <w:r>
        <w:rPr>
          <w:rFonts w:hint="cs"/>
          <w:rtl/>
        </w:rPr>
        <w:t xml:space="preserve">עלה </w:t>
      </w:r>
      <w:r>
        <w:rPr>
          <w:rtl/>
        </w:rPr>
        <w:t xml:space="preserve">שאלות חשובות באשר ליחס הראוי שבין </w:t>
      </w:r>
      <w:r>
        <w:rPr>
          <w:rFonts w:hint="cs"/>
          <w:rtl/>
        </w:rPr>
        <w:t>ה</w:t>
      </w:r>
      <w:r>
        <w:rPr>
          <w:rtl/>
        </w:rPr>
        <w:t>זכות לבחור ולהיבחר ברשויות המקומיות, לבין אופיו המקצועי והענייני של מוסד הוועדות הממונות, והחשש מפני פגיעה בשוויון ההזדמנויות של המתמודדים האחרים במרוץ הבחירות. ברם, מסופקני אם בשאלות אלו סגי</w:t>
      </w:r>
      <w:r>
        <w:rPr>
          <w:rFonts w:hint="cs"/>
          <w:rtl/>
        </w:rPr>
        <w:t xml:space="preserve">, </w:t>
      </w:r>
      <w:r>
        <w:rPr>
          <w:rtl/>
        </w:rPr>
        <w:t>על מנת להעיר את 'השד החוקתי' מר</w:t>
      </w:r>
      <w:r>
        <w:rPr>
          <w:rFonts w:hint="cs"/>
          <w:rtl/>
        </w:rPr>
        <w:t>ִ</w:t>
      </w:r>
      <w:r>
        <w:rPr>
          <w:rtl/>
        </w:rPr>
        <w:t>בצו. קביעת האיזון הראוי בין הזכויות והאינטרסים הנוגעים לעניין, ככלל, מצויה בליבת סמכות</w:t>
      </w:r>
      <w:r>
        <w:rPr>
          <w:rFonts w:hint="cs"/>
          <w:rtl/>
        </w:rPr>
        <w:t>ה</w:t>
      </w:r>
      <w:r>
        <w:rPr>
          <w:rtl/>
        </w:rPr>
        <w:t xml:space="preserve"> ואחריות</w:t>
      </w:r>
      <w:r>
        <w:rPr>
          <w:rFonts w:hint="cs"/>
          <w:rtl/>
        </w:rPr>
        <w:t>ה</w:t>
      </w:r>
      <w:r>
        <w:rPr>
          <w:rtl/>
        </w:rPr>
        <w:t xml:space="preserve"> של </w:t>
      </w:r>
      <w:r>
        <w:rPr>
          <w:rFonts w:hint="cs"/>
          <w:rtl/>
        </w:rPr>
        <w:t xml:space="preserve">הרשות </w:t>
      </w:r>
      <w:r>
        <w:rPr>
          <w:rtl/>
        </w:rPr>
        <w:t>המחוקק</w:t>
      </w:r>
      <w:r>
        <w:rPr>
          <w:rFonts w:hint="cs"/>
          <w:rtl/>
        </w:rPr>
        <w:t>ת;</w:t>
      </w:r>
      <w:r>
        <w:rPr>
          <w:rtl/>
        </w:rPr>
        <w:t xml:space="preserve"> המחוקק </w:t>
      </w:r>
      <w:r>
        <w:rPr>
          <w:rFonts w:hint="cs"/>
          <w:rtl/>
        </w:rPr>
        <w:t xml:space="preserve">רשאי </w:t>
      </w:r>
      <w:r>
        <w:rPr>
          <w:rtl/>
        </w:rPr>
        <w:t xml:space="preserve">גם לשנות את אופיו וטיבו של מוסד הוועדות הממונות, אם כך יראה לנכון; </w:t>
      </w:r>
      <w:r>
        <w:rPr>
          <w:rFonts w:hint="cs"/>
          <w:rtl/>
        </w:rPr>
        <w:t xml:space="preserve">לא נבוא </w:t>
      </w:r>
      <w:r>
        <w:rPr>
          <w:rtl/>
        </w:rPr>
        <w:t xml:space="preserve">בנעליו בקשר לעיצוב כללי הבחירות, לרבות </w:t>
      </w:r>
      <w:r>
        <w:rPr>
          <w:rFonts w:hint="cs"/>
          <w:rtl/>
        </w:rPr>
        <w:t>תנא</w:t>
      </w:r>
      <w:r>
        <w:rPr>
          <w:rtl/>
        </w:rPr>
        <w:t xml:space="preserve">י הכשירות להתמודד בבחירות. זאת, בפרט, כאשר התיקון מביא להסדר דומה למדי לזה שהיה קיים בעבר, לפני כניסת תיקון 39 לתוקף בשנת 2008; בהקשר זה סבורני כי יש להבחין בין ההסדר </w:t>
      </w:r>
      <w:r>
        <w:rPr>
          <w:rFonts w:ascii="Century" w:hAnsi="Century" w:cs="Miriam"/>
          <w:b/>
          <w:spacing w:val="0"/>
          <w:sz w:val="22"/>
          <w:szCs w:val="24"/>
          <w:rtl/>
        </w:rPr>
        <w:t>החוקי</w:t>
      </w:r>
      <w:r>
        <w:rPr>
          <w:rtl/>
        </w:rPr>
        <w:t xml:space="preserve"> שהיה קיים ושאף הוביל לחקיקת תיקון מס' 39 הנ"ל, לבין </w:t>
      </w:r>
      <w:r>
        <w:rPr>
          <w:rFonts w:ascii="Century" w:hAnsi="Century" w:cs="Miriam"/>
          <w:b/>
          <w:spacing w:val="0"/>
          <w:sz w:val="22"/>
          <w:szCs w:val="24"/>
          <w:rtl/>
        </w:rPr>
        <w:t>נוהג</w:t>
      </w:r>
      <w:r>
        <w:rPr>
          <w:rtl/>
        </w:rPr>
        <w:t xml:space="preserve"> משתמע, שלפיו יו"ר ועדה ממונה לא היה רשאי להתמודד בבחירות לרשות המקומית (וכפי שציין חברי</w:t>
      </w:r>
      <w:r>
        <w:rPr>
          <w:rFonts w:hint="cs"/>
          <w:rtl/>
        </w:rPr>
        <w:t xml:space="preserve">, </w:t>
      </w:r>
      <w:r>
        <w:rPr>
          <w:rtl/>
        </w:rPr>
        <w:t>נוהג זה אף לא נשמר באדיקות בעבר). לכך אוסיף, כי העובדה שעקרון השוויון בבחירות לרשויות המקומיות, להבדיל מעיקרון זה בבחירות הכלליות, אינו מעוגן במפורש בחקיקת</w:t>
      </w:r>
      <w:r>
        <w:rPr>
          <w:rFonts w:hint="cs"/>
          <w:rtl/>
        </w:rPr>
        <w:t>-</w:t>
      </w:r>
      <w:r>
        <w:rPr>
          <w:rtl/>
        </w:rPr>
        <w:t xml:space="preserve">יסוד, מקשה גם היא על כניסה לטרקלין הבחינה החוקתית. עוד אעיר, בזהירות, כי גם </w:t>
      </w:r>
      <w:r>
        <w:rPr>
          <w:rFonts w:hint="cs"/>
          <w:rtl/>
        </w:rPr>
        <w:t xml:space="preserve">אילו </w:t>
      </w:r>
      <w:r>
        <w:rPr>
          <w:rtl/>
        </w:rPr>
        <w:t>בא</w:t>
      </w:r>
      <w:r>
        <w:rPr>
          <w:rFonts w:hint="cs"/>
          <w:rtl/>
        </w:rPr>
        <w:t>נו</w:t>
      </w:r>
      <w:r>
        <w:rPr>
          <w:rtl/>
        </w:rPr>
        <w:t xml:space="preserve"> בשערי הטרקלין, </w:t>
      </w:r>
      <w:r>
        <w:rPr>
          <w:rFonts w:hint="cs"/>
          <w:rtl/>
        </w:rPr>
        <w:t xml:space="preserve">היינו </w:t>
      </w:r>
      <w:r>
        <w:rPr>
          <w:rtl/>
        </w:rPr>
        <w:t>נדרשים להתמודד עם שאלה מורכבת של פגיעה נטענת בזכותו של פלוני להיבחר, שהי</w:t>
      </w:r>
      <w:r>
        <w:rPr>
          <w:rFonts w:hint="cs"/>
          <w:rtl/>
        </w:rPr>
        <w:t xml:space="preserve">א </w:t>
      </w:r>
      <w:r>
        <w:rPr>
          <w:rtl/>
        </w:rPr>
        <w:t xml:space="preserve">פועל יוצא </w:t>
      </w:r>
      <w:r>
        <w:rPr>
          <w:rFonts w:hint="cs"/>
          <w:rtl/>
        </w:rPr>
        <w:t>מ</w:t>
      </w:r>
      <w:r>
        <w:rPr>
          <w:rFonts w:ascii="Century" w:hAnsi="Century" w:cs="Miriam"/>
          <w:b/>
          <w:spacing w:val="0"/>
          <w:sz w:val="22"/>
          <w:szCs w:val="24"/>
          <w:rtl/>
        </w:rPr>
        <w:t>הרחבת</w:t>
      </w:r>
      <w:r>
        <w:rPr>
          <w:rtl/>
        </w:rPr>
        <w:t xml:space="preserve"> זכותו של פלמוני להיבחר, שכן תיקון 53, במובנו המ</w:t>
      </w:r>
      <w:r>
        <w:rPr>
          <w:rFonts w:hint="cs"/>
          <w:rtl/>
        </w:rPr>
        <w:t>י</w:t>
      </w:r>
      <w:r>
        <w:rPr>
          <w:rtl/>
        </w:rPr>
        <w:t>ידי, מבקש להסיר מגבלה על הזכות להיבחר לראשות רשות מקומית. מטעמים אלו, אלמלא הפגם בעיתוי תחולתו של התיקון, ספק רב בעינ</w:t>
      </w:r>
      <w:r>
        <w:rPr>
          <w:rFonts w:hint="cs"/>
          <w:rtl/>
        </w:rPr>
        <w:t>ַ</w:t>
      </w:r>
      <w:r>
        <w:rPr>
          <w:rtl/>
        </w:rPr>
        <w:t>י, אם היתה תקומה לעתירות שלפנינו. מכל מקום, דברי אלה נאמרים, למעלה מן הצורך, בהינתן הנתיב הפרשני שבו צעד חברי</w:t>
      </w:r>
      <w:r>
        <w:rPr>
          <w:rFonts w:hint="cs"/>
          <w:rtl/>
        </w:rPr>
        <w:t>;</w:t>
      </w:r>
      <w:r>
        <w:rPr>
          <w:rtl/>
        </w:rPr>
        <w:t xml:space="preserve"> ואני עִמו</w:t>
      </w:r>
      <w:r>
        <w:rPr>
          <w:rFonts w:hint="cs"/>
          <w:rtl/>
        </w:rPr>
        <w:t xml:space="preserve"> בדרכו-זו</w:t>
      </w:r>
      <w:r>
        <w:rPr>
          <w:rtl/>
        </w:rPr>
        <w:t xml:space="preserve">. </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pPr>
      <w:r>
        <w:rPr>
          <w:rFonts w:hint="cs"/>
          <w:rtl/>
        </w:rPr>
        <w:t>א</w:t>
      </w:r>
      <w:r>
        <w:rPr>
          <w:rtl/>
        </w:rPr>
        <w:t>שוב אפוא למסלול הפרשני</w:t>
      </w:r>
      <w:r>
        <w:rPr>
          <w:rFonts w:hint="cs"/>
          <w:rtl/>
        </w:rPr>
        <w:t>, באשר ל</w:t>
      </w:r>
      <w:r>
        <w:rPr>
          <w:rtl/>
        </w:rPr>
        <w:t xml:space="preserve">מועד תחולתו של התיקון, </w:t>
      </w:r>
      <w:r>
        <w:rPr>
          <w:rFonts w:hint="cs"/>
          <w:rtl/>
        </w:rPr>
        <w:t xml:space="preserve">ולקביעתו של </w:t>
      </w:r>
      <w:r>
        <w:rPr>
          <w:rtl/>
        </w:rPr>
        <w:t>חברי, כי בהעדר עיגון לשוני ברור ומפורש, עלינו ל</w:t>
      </w:r>
      <w:r>
        <w:rPr>
          <w:rFonts w:hint="cs"/>
          <w:rtl/>
        </w:rPr>
        <w:t xml:space="preserve">בחון את </w:t>
      </w:r>
      <w:r>
        <w:rPr>
          <w:rtl/>
        </w:rPr>
        <w:t xml:space="preserve">תכליתו של התיקון. חברי </w:t>
      </w:r>
      <w:r>
        <w:rPr>
          <w:rFonts w:hint="cs"/>
          <w:rtl/>
        </w:rPr>
        <w:t xml:space="preserve">בא </w:t>
      </w:r>
      <w:r>
        <w:rPr>
          <w:rtl/>
        </w:rPr>
        <w:t xml:space="preserve">לכלל מסקנה כי התכלית </w:t>
      </w:r>
      <w:r>
        <w:rPr>
          <w:rFonts w:ascii="Century" w:hAnsi="Century" w:cs="Miriam"/>
          <w:b/>
          <w:spacing w:val="0"/>
          <w:sz w:val="22"/>
          <w:szCs w:val="24"/>
          <w:rtl/>
        </w:rPr>
        <w:t>הסובייקטיבית</w:t>
      </w:r>
      <w:r>
        <w:rPr>
          <w:rtl/>
        </w:rPr>
        <w:t xml:space="preserve"> של תיקון 53, כעולה מהליכי חקיקתו ומן הדיונים בוועדת הפנים של הכנסת, מורה על החלתו באופן מ</w:t>
      </w:r>
      <w:r>
        <w:rPr>
          <w:rFonts w:hint="cs"/>
          <w:rtl/>
        </w:rPr>
        <w:t>י</w:t>
      </w:r>
      <w:r>
        <w:rPr>
          <w:rtl/>
        </w:rPr>
        <w:t>ידי – גם על מערכת הבחירות הקרובה. זאת בעיקר, בשים לב לתכלית הפרסונלית של החוק, שעניינה במתן אפשרות</w:t>
      </w:r>
      <w:r>
        <w:rPr>
          <w:rFonts w:hint="cs"/>
          <w:rtl/>
        </w:rPr>
        <w:t xml:space="preserve"> דווקנית</w:t>
      </w:r>
      <w:r>
        <w:rPr>
          <w:rtl/>
        </w:rPr>
        <w:t xml:space="preserve"> למשיב 4, להתמודד בבחירות הקרובות. מנגד, סבור חברי</w:t>
      </w:r>
      <w:r>
        <w:rPr>
          <w:rFonts w:hint="cs"/>
          <w:rtl/>
        </w:rPr>
        <w:t>,</w:t>
      </w:r>
      <w:r>
        <w:rPr>
          <w:rtl/>
        </w:rPr>
        <w:t xml:space="preserve"> כי התכלית </w:t>
      </w:r>
      <w:r>
        <w:rPr>
          <w:rFonts w:ascii="Century" w:hAnsi="Century" w:cs="Miriam"/>
          <w:b/>
          <w:spacing w:val="0"/>
          <w:sz w:val="22"/>
          <w:szCs w:val="24"/>
          <w:rtl/>
        </w:rPr>
        <w:t>האובייקטיבית</w:t>
      </w:r>
      <w:r>
        <w:rPr>
          <w:rtl/>
        </w:rPr>
        <w:t xml:space="preserve"> של התיקון, ובפרט העיקרון שלפיו יש להימנע מ'שינוי כללי המשחק תוך </w:t>
      </w:r>
      <w:r>
        <w:rPr>
          <w:rtl/>
        </w:rPr>
        <w:lastRenderedPageBreak/>
        <w:t xml:space="preserve">כדי המשחק', והעיקרון שלפיו על חוק להיות כללי ולא פרסונלי – 'מושכת' לכיוון הנגדי, דהיינו לדחיית תחולת התיקון עד לאחר מערכת הבחירות הקרובה.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חברי חתם את מסעו הפרשני ב</w:t>
      </w:r>
      <w:r>
        <w:rPr>
          <w:rFonts w:hint="cs"/>
          <w:rtl/>
        </w:rPr>
        <w:t>דבריו אלו</w:t>
      </w:r>
      <w:r>
        <w:rPr>
          <w:rtl/>
        </w:rPr>
        <w:t xml:space="preserve">: </w:t>
      </w:r>
      <w:r>
        <w:rPr>
          <w:rFonts w:ascii="Century" w:hAnsi="Century" w:cs="Miriam"/>
          <w:b/>
          <w:spacing w:val="0"/>
          <w:szCs w:val="24"/>
          <w:rtl/>
        </w:rPr>
        <w:t xml:space="preserve">"התכלית הסובייקטיבית והתכלית האובייקטיבית לא עולות בקנה אחד: הראשונה משמיעה כי התיקון יחול גם בבחירות המקומיות הקרובות; ואילו האחרונה משמיעה כי התיקון לא יחול בבחירות אלו" </w:t>
      </w:r>
      <w:r>
        <w:rPr>
          <w:rtl/>
        </w:rPr>
        <w:t>(פסקה 62</w:t>
      </w:r>
      <w:r>
        <w:rPr>
          <w:rFonts w:ascii="Century" w:hAnsi="Century" w:hint="cs"/>
          <w:sz w:val="22"/>
          <w:rtl/>
        </w:rPr>
        <w:t>)</w:t>
      </w:r>
      <w:r>
        <w:rPr>
          <w:rFonts w:ascii="Century" w:hAnsi="Century"/>
          <w:sz w:val="22"/>
          <w:rtl/>
        </w:rPr>
        <w:t>.</w:t>
      </w:r>
      <w:r>
        <w:rPr>
          <w:rtl/>
        </w:rPr>
        <w:t xml:space="preserve"> בהתנגשות זו, בין שתי התכליות, סבור חברי</w:t>
      </w:r>
      <w:r>
        <w:rPr>
          <w:rFonts w:hint="cs"/>
          <w:rtl/>
        </w:rPr>
        <w:t>,</w:t>
      </w:r>
      <w:r>
        <w:rPr>
          <w:rtl/>
        </w:rPr>
        <w:t xml:space="preserve"> כי התכלית האובייקטיבית גוברת, וכי יש להעדיף פרשנות שלא תביאנו למצב שבו </w:t>
      </w:r>
      <w:r>
        <w:rPr>
          <w:rFonts w:ascii="Century" w:hAnsi="Century" w:cs="Miriam"/>
          <w:b/>
          <w:spacing w:val="0"/>
          <w:sz w:val="22"/>
          <w:szCs w:val="24"/>
          <w:rtl/>
        </w:rPr>
        <w:t xml:space="preserve">"בתחום הרגיש של דיני בחירות תוקן חוק הבחירות, בזמן בחירות, על מנת להיטיב עם אדם אחד </w:t>
      </w:r>
      <w:r>
        <w:rPr>
          <w:rFonts w:ascii="Century" w:hAnsi="Century"/>
          <w:sz w:val="22"/>
          <w:rtl/>
        </w:rPr>
        <w:t>–</w:t>
      </w:r>
      <w:r>
        <w:rPr>
          <w:rFonts w:ascii="Century" w:hAnsi="Century" w:cs="Miriam"/>
          <w:b/>
          <w:spacing w:val="0"/>
          <w:sz w:val="22"/>
          <w:szCs w:val="24"/>
          <w:rtl/>
        </w:rPr>
        <w:t xml:space="preserve"> ראש הוועד</w:t>
      </w:r>
      <w:r>
        <w:rPr>
          <w:rFonts w:ascii="Century" w:hAnsi="Century" w:cs="Miriam" w:hint="cs"/>
          <w:b/>
          <w:spacing w:val="0"/>
          <w:sz w:val="22"/>
          <w:szCs w:val="24"/>
          <w:rtl/>
        </w:rPr>
        <w:t>ה</w:t>
      </w:r>
      <w:r>
        <w:rPr>
          <w:rFonts w:ascii="Century" w:hAnsi="Century" w:cs="Miriam"/>
          <w:b/>
          <w:spacing w:val="0"/>
          <w:sz w:val="22"/>
          <w:szCs w:val="24"/>
          <w:rtl/>
        </w:rPr>
        <w:t xml:space="preserve"> הממונה בטבריה"</w:t>
      </w:r>
      <w:r>
        <w:rPr>
          <w:rtl/>
        </w:rPr>
        <w:t xml:space="preserve"> (שם).</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כאמור, מסקנתי זהה לזו של חברי, אך דרכי שונה במקצת. עיקר הפער </w:t>
      </w:r>
      <w:r>
        <w:rPr>
          <w:rFonts w:hint="cs"/>
          <w:rtl/>
        </w:rPr>
        <w:t xml:space="preserve">בינינו </w:t>
      </w:r>
      <w:r>
        <w:rPr>
          <w:rtl/>
        </w:rPr>
        <w:t xml:space="preserve">נעוץ בזיהוי הפגם המשפטי הכרוך בפרשנות </w:t>
      </w:r>
      <w:r>
        <w:rPr>
          <w:rFonts w:hint="cs"/>
          <w:rtl/>
        </w:rPr>
        <w:t>ש</w:t>
      </w:r>
      <w:r>
        <w:rPr>
          <w:rtl/>
        </w:rPr>
        <w:t>לפיה תחולתו של תיקון 53 היא מ</w:t>
      </w:r>
      <w:r>
        <w:rPr>
          <w:rFonts w:hint="cs"/>
          <w:rtl/>
        </w:rPr>
        <w:t>י</w:t>
      </w:r>
      <w:r>
        <w:rPr>
          <w:rtl/>
        </w:rPr>
        <w:t xml:space="preserve">ידית; לגבי דידי, הפגם העיקרי נוגע לשינוי הכללים הנוגעים לבחירות 'תוך כדי תנועה', במהלך תקופת הבחירות, באופן המביא לפגיעה קשה במושכלות יסוד של דיני </w:t>
      </w:r>
      <w:r>
        <w:rPr>
          <w:rFonts w:hint="cs"/>
          <w:rtl/>
        </w:rPr>
        <w:t>ה</w:t>
      </w:r>
      <w:r>
        <w:rPr>
          <w:rtl/>
        </w:rPr>
        <w:t xml:space="preserve">בחירות, ובפרט באינטרס ההסתמכות של השחקנים הפוליטיים המתמודדים בבחירות. </w:t>
      </w:r>
      <w:r>
        <w:rPr>
          <w:rFonts w:hint="cs"/>
          <w:rtl/>
        </w:rPr>
        <w:t xml:space="preserve">אני שותף </w:t>
      </w:r>
      <w:r>
        <w:rPr>
          <w:rtl/>
        </w:rPr>
        <w:t xml:space="preserve">לעמדתו של חברי, שלפיה פגם זה מצדיק פרשנות הדוחה את תחולתו בזמן של תיקון 53 למערכת הבחירות המוניציפאלית הבאה, </w:t>
      </w:r>
      <w:r>
        <w:rPr>
          <w:rFonts w:hint="cs"/>
          <w:rtl/>
        </w:rPr>
        <w:t xml:space="preserve">וזאת </w:t>
      </w:r>
      <w:r>
        <w:rPr>
          <w:rtl/>
        </w:rPr>
        <w:t xml:space="preserve">בשים לב </w:t>
      </w:r>
      <w:r>
        <w:rPr>
          <w:rFonts w:hint="cs"/>
          <w:rtl/>
        </w:rPr>
        <w:t>ל</w:t>
      </w:r>
      <w:r>
        <w:rPr>
          <w:rtl/>
        </w:rPr>
        <w:t xml:space="preserve">שתיקתו של התיקון בשאלת התחולה. פרשנות זו אף מתיישבת עם תכליתו הסובייקטיבית של התיקון, שכן – כפי שאף חברי מציין – מהליך החקיקה ניתן ללמוד על כוונה עקרונית של המחוקק, שלא לשנות את כללי הבחירות בתוך תקופת הבחירות. </w:t>
      </w:r>
    </w:p>
    <w:p w:rsidR="00C413FD" w:rsidRPr="00323B44"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לעומת זאת, אינני סבור כי עלינו לקבוע שתיקון 53 </w:t>
      </w:r>
      <w:r>
        <w:rPr>
          <w:rFonts w:hint="cs"/>
          <w:rtl/>
        </w:rPr>
        <w:t>כמוהו כ</w:t>
      </w:r>
      <w:r>
        <w:rPr>
          <w:rtl/>
        </w:rPr>
        <w:t>'חקיקה פרסונלית', וזאת עוד מבלי להידרש לנפקות המשפטית של קביעה כזו. שאלת זיהויו של חוק כ'פרסונלי', כמו גם שאלת המשמעות והנפקות המעשית של חקיקה מסוג זה, מע</w:t>
      </w:r>
      <w:r>
        <w:rPr>
          <w:rFonts w:hint="cs"/>
          <w:rtl/>
        </w:rPr>
        <w:t xml:space="preserve">לה שאלות </w:t>
      </w:r>
      <w:r>
        <w:rPr>
          <w:rtl/>
        </w:rPr>
        <w:t xml:space="preserve">סבוכות ומורכבות, שאינן </w:t>
      </w:r>
      <w:r>
        <w:rPr>
          <w:rFonts w:hint="cs"/>
          <w:rtl/>
        </w:rPr>
        <w:t>זקוקות ל</w:t>
      </w:r>
      <w:r>
        <w:rPr>
          <w:rtl/>
        </w:rPr>
        <w:t>הכרעה בדידן. עמדתי</w:t>
      </w:r>
      <w:r>
        <w:rPr>
          <w:rFonts w:hint="cs"/>
          <w:rtl/>
        </w:rPr>
        <w:t xml:space="preserve"> </w:t>
      </w:r>
      <w:r>
        <w:rPr>
          <w:rtl/>
        </w:rPr>
        <w:t>זו, שלפיה תיקון 53 אינו בעל מאפיינים פרסונליים, המכוונים לבחירתו של מר יוסף, מחד גיסא</w:t>
      </w:r>
      <w:r>
        <w:rPr>
          <w:rFonts w:hint="cs"/>
          <w:rtl/>
        </w:rPr>
        <w:t>,</w:t>
      </w:r>
      <w:r>
        <w:rPr>
          <w:rtl/>
        </w:rPr>
        <w:t xml:space="preserve"> וכי היא אכן עומדת בסתירה לעיקרון </w:t>
      </w:r>
      <w:r>
        <w:rPr>
          <w:rFonts w:hint="cs"/>
          <w:rtl/>
        </w:rPr>
        <w:t>ש</w:t>
      </w:r>
      <w:r>
        <w:rPr>
          <w:rtl/>
        </w:rPr>
        <w:t>לפיו אין מקום ל"שינוי כללי המשחק תוך כדי המשחק", עיקרון שאף המחוקק עצמו ביקש ל</w:t>
      </w:r>
      <w:r>
        <w:rPr>
          <w:rFonts w:hint="cs"/>
          <w:rtl/>
        </w:rPr>
        <w:t>מלא אחריו</w:t>
      </w:r>
      <w:r>
        <w:rPr>
          <w:rtl/>
        </w:rPr>
        <w:t>, מאידך גיסא – משנה, לטעמי, את האופן שבו יש לנתח את התכלית הסובייקטיבית שבבסיס תיקון 53, ומוליכה למסקנה כי ניתן ליישב בינה לבין תחולתו הנדחית של התיקון.</w:t>
      </w:r>
    </w:p>
    <w:p w:rsidR="00C413FD" w:rsidRPr="00323B44" w:rsidRDefault="00C413FD" w:rsidP="00C413FD">
      <w:pPr>
        <w:pStyle w:val="Ruller4"/>
        <w:numPr>
          <w:ilvl w:val="0"/>
          <w:numId w:val="0"/>
        </w:numPr>
        <w:rPr>
          <w:rtl/>
        </w:rPr>
      </w:pPr>
    </w:p>
    <w:p w:rsidR="00C413FD" w:rsidRDefault="00C413FD" w:rsidP="00C413FD">
      <w:pPr>
        <w:pStyle w:val="Ruller4"/>
        <w:numPr>
          <w:ilvl w:val="0"/>
          <w:numId w:val="0"/>
        </w:numPr>
        <w:rPr>
          <w:rFonts w:ascii="Century" w:hAnsi="Century" w:cs="Miriam"/>
          <w:b/>
          <w:spacing w:val="0"/>
          <w:sz w:val="22"/>
          <w:szCs w:val="24"/>
        </w:rPr>
      </w:pPr>
      <w:r>
        <w:rPr>
          <w:rFonts w:ascii="Century" w:hAnsi="Century" w:cs="Miriam"/>
          <w:b/>
          <w:spacing w:val="0"/>
          <w:sz w:val="22"/>
          <w:szCs w:val="24"/>
          <w:rtl/>
        </w:rPr>
        <w:t>'שינוי כללי המשחק תוך כדי המשחק'</w:t>
      </w:r>
    </w:p>
    <w:p w:rsidR="00C413FD" w:rsidRDefault="00C413FD" w:rsidP="00C413FD">
      <w:pPr>
        <w:pStyle w:val="Ruller4"/>
        <w:numPr>
          <w:ilvl w:val="0"/>
          <w:numId w:val="26"/>
        </w:numPr>
        <w:tabs>
          <w:tab w:val="clear" w:pos="907"/>
          <w:tab w:val="num" w:pos="1049"/>
        </w:tabs>
        <w:textAlignment w:val="auto"/>
      </w:pPr>
      <w:r>
        <w:rPr>
          <w:rtl/>
        </w:rPr>
        <w:lastRenderedPageBreak/>
        <w:t>כאמור, הפגם העיקרי שדבק בתיקון 53, ל</w:t>
      </w:r>
      <w:r>
        <w:rPr>
          <w:rFonts w:hint="cs"/>
          <w:rtl/>
        </w:rPr>
        <w:t>דעת</w:t>
      </w:r>
      <w:r>
        <w:rPr>
          <w:rtl/>
        </w:rPr>
        <w:t xml:space="preserve">י, נעוץ בכך שהתיקון, המשנה את הכלל שאסר על יושבי ראש </w:t>
      </w:r>
      <w:r>
        <w:rPr>
          <w:rFonts w:hint="cs"/>
          <w:rtl/>
        </w:rPr>
        <w:t xml:space="preserve">וחברי </w:t>
      </w:r>
      <w:r>
        <w:rPr>
          <w:rtl/>
        </w:rPr>
        <w:t>ועדות ממונות להתמודד בבחירות, חוּקק לאחר שכבר החלה תקופת הבחירות לרשויות המקומיות, באופן הפוגע באינטרס ההסתמכות של יתר המתמודדים בבחירות. תיקון 53 עבר בכנסת בקריאה שניה ושלישית ביום 5.7.2023</w:t>
      </w:r>
      <w:r>
        <w:rPr>
          <w:rFonts w:hint="cs"/>
          <w:rtl/>
        </w:rPr>
        <w:t xml:space="preserve">, </w:t>
      </w:r>
      <w:r w:rsidRPr="00752076">
        <w:rPr>
          <w:rFonts w:ascii="Century" w:hAnsi="Century" w:cs="Miriam" w:hint="cs"/>
          <w:b/>
          <w:spacing w:val="0"/>
          <w:sz w:val="22"/>
          <w:szCs w:val="24"/>
          <w:rtl/>
        </w:rPr>
        <w:t>לאחר</w:t>
      </w:r>
      <w:r w:rsidRPr="00752076">
        <w:rPr>
          <w:rtl/>
        </w:rPr>
        <w:t xml:space="preserve"> </w:t>
      </w:r>
      <w:r>
        <w:rPr>
          <w:rFonts w:hint="cs"/>
          <w:rtl/>
        </w:rPr>
        <w:t>ה</w:t>
      </w:r>
      <w:r>
        <w:rPr>
          <w:rtl/>
        </w:rPr>
        <w:t>מועד שבו נורתה 'יריית הפתיחה' של תקופת הבחירות לרשויות המקומיות</w:t>
      </w:r>
      <w:r>
        <w:rPr>
          <w:rFonts w:hint="cs"/>
          <w:rtl/>
        </w:rPr>
        <w:t xml:space="preserve">, </w:t>
      </w:r>
      <w:r>
        <w:rPr>
          <w:rtl/>
        </w:rPr>
        <w:t>4.6.2023</w:t>
      </w:r>
      <w:r>
        <w:rPr>
          <w:rFonts w:hint="cs"/>
          <w:rtl/>
        </w:rPr>
        <w:t>,</w:t>
      </w:r>
      <w:r>
        <w:rPr>
          <w:rtl/>
        </w:rPr>
        <w:t xml:space="preserve"> שהוא יום השליפה הראשונה של פנקס הבוחרים (בג"ץ 7181/08 </w:t>
      </w:r>
      <w:r>
        <w:rPr>
          <w:rFonts w:ascii="Century" w:hAnsi="Century" w:cs="Miriam"/>
          <w:b/>
          <w:spacing w:val="0"/>
          <w:sz w:val="22"/>
          <w:szCs w:val="24"/>
          <w:rtl/>
        </w:rPr>
        <w:t>לוינטל נ' שר הפנים</w:t>
      </w:r>
      <w:r>
        <w:rPr>
          <w:rtl/>
        </w:rPr>
        <w:t xml:space="preserve"> (10.11.2008) (להלן: </w:t>
      </w:r>
      <w:r>
        <w:rPr>
          <w:rFonts w:ascii="Century" w:hAnsi="Century" w:cs="Miriam"/>
          <w:b/>
          <w:spacing w:val="0"/>
          <w:sz w:val="22"/>
          <w:szCs w:val="24"/>
          <w:rtl/>
        </w:rPr>
        <w:t>עניין לוינטל</w:t>
      </w:r>
      <w:r>
        <w:rPr>
          <w:rtl/>
        </w:rPr>
        <w:t>)). חברי</w:t>
      </w:r>
      <w:r>
        <w:rPr>
          <w:rFonts w:hint="cs"/>
          <w:rtl/>
        </w:rPr>
        <w:t>,</w:t>
      </w:r>
      <w:r>
        <w:rPr>
          <w:rtl/>
        </w:rPr>
        <w:t xml:space="preserve"> </w:t>
      </w:r>
      <w:r>
        <w:rPr>
          <w:rFonts w:hint="cs"/>
          <w:rtl/>
        </w:rPr>
        <w:t>מ"מ הנשיא,</w:t>
      </w:r>
      <w:r>
        <w:rPr>
          <w:rtl/>
        </w:rPr>
        <w:t xml:space="preserve"> היטיב לבאר בחוות דעתו מדוע אין לסטות מן 'המועד הקובע' שנקבע בעניין </w:t>
      </w:r>
      <w:r>
        <w:rPr>
          <w:rFonts w:ascii="Century" w:hAnsi="Century" w:cs="Miriam"/>
          <w:b/>
          <w:spacing w:val="0"/>
          <w:sz w:val="22"/>
          <w:szCs w:val="24"/>
          <w:rtl/>
        </w:rPr>
        <w:t>לוינטל</w:t>
      </w:r>
      <w:r>
        <w:rPr>
          <w:rtl/>
        </w:rPr>
        <w:t xml:space="preserve"> גם </w:t>
      </w:r>
      <w:r>
        <w:rPr>
          <w:rFonts w:hint="cs"/>
          <w:rtl/>
        </w:rPr>
        <w:t>באשר ל</w:t>
      </w:r>
      <w:r>
        <w:rPr>
          <w:rtl/>
        </w:rPr>
        <w:t>שינוי שהביא עמו תיקון 53 – העוסק בכללי כשירות של מתמודדים לראשות הרשות המקומית – ולדבריו אלה אני מסכים (פסקאות 56-55). הדגש הוא על היציבות, האחידות והוודאות, הנחוצים עד מאוד בכל הנוגע לכללי הבחירות. כפי שציינה חברתי</w:t>
      </w:r>
      <w:r>
        <w:rPr>
          <w:rFonts w:hint="cs"/>
          <w:rtl/>
        </w:rPr>
        <w:t>,</w:t>
      </w:r>
      <w:r>
        <w:rPr>
          <w:rtl/>
        </w:rPr>
        <w:t xml:space="preserve"> השופטת </w:t>
      </w:r>
      <w:r>
        <w:rPr>
          <w:rFonts w:ascii="Century" w:hAnsi="Century" w:cs="Miriam"/>
          <w:b/>
          <w:spacing w:val="0"/>
          <w:sz w:val="22"/>
          <w:szCs w:val="24"/>
          <w:rtl/>
        </w:rPr>
        <w:t>ד' ברק-ארז</w:t>
      </w:r>
      <w:r>
        <w:rPr>
          <w:rtl/>
        </w:rPr>
        <w:t>, דיני הבחירות הם התשתית של משטר דמוקרטי מתפקד (פסקה 3), וכפי ש</w:t>
      </w:r>
      <w:r>
        <w:rPr>
          <w:rFonts w:hint="cs"/>
          <w:rtl/>
        </w:rPr>
        <w:t>ה</w:t>
      </w:r>
      <w:r>
        <w:rPr>
          <w:rtl/>
        </w:rPr>
        <w:t>דגיש חברי</w:t>
      </w:r>
      <w:r>
        <w:rPr>
          <w:rFonts w:hint="cs"/>
          <w:rtl/>
        </w:rPr>
        <w:t>,</w:t>
      </w:r>
      <w:r>
        <w:rPr>
          <w:rtl/>
        </w:rPr>
        <w:t xml:space="preserve"> </w:t>
      </w:r>
      <w:r>
        <w:rPr>
          <w:rFonts w:hint="cs"/>
          <w:rtl/>
        </w:rPr>
        <w:t>מ"מ הנשיא</w:t>
      </w:r>
      <w:r>
        <w:rPr>
          <w:rtl/>
        </w:rPr>
        <w:t>, עריכת שינויים ב</w:t>
      </w:r>
      <w:r>
        <w:rPr>
          <w:rFonts w:hint="cs"/>
          <w:rtl/>
        </w:rPr>
        <w:t xml:space="preserve">אלה </w:t>
      </w:r>
      <w:r>
        <w:rPr>
          <w:rtl/>
        </w:rPr>
        <w:t>לאחר 'יריית ה</w:t>
      </w:r>
      <w:r>
        <w:rPr>
          <w:rFonts w:hint="cs"/>
          <w:rtl/>
        </w:rPr>
        <w:t>פתיחה'</w:t>
      </w:r>
      <w:r>
        <w:rPr>
          <w:rtl/>
        </w:rPr>
        <w:t xml:space="preserve"> של </w:t>
      </w:r>
      <w:r>
        <w:rPr>
          <w:rFonts w:hint="cs"/>
          <w:rtl/>
        </w:rPr>
        <w:t>ה</w:t>
      </w:r>
      <w:r>
        <w:rPr>
          <w:rtl/>
        </w:rPr>
        <w:t xml:space="preserve">מרוץ </w:t>
      </w:r>
      <w:r>
        <w:rPr>
          <w:rFonts w:hint="cs"/>
          <w:rtl/>
        </w:rPr>
        <w:t>ל</w:t>
      </w:r>
      <w:r>
        <w:rPr>
          <w:rtl/>
        </w:rPr>
        <w:t>בחירות, טומנים בחובם חשש לפגיעה באמון הציבור בהליך הבחירות ובלגיטימיות של תוצאותי</w:t>
      </w:r>
      <w:r>
        <w:rPr>
          <w:rFonts w:hint="cs"/>
          <w:rtl/>
        </w:rPr>
        <w:t>ה</w:t>
      </w:r>
      <w:r>
        <w:rPr>
          <w:rtl/>
        </w:rPr>
        <w:t xml:space="preserve"> (ראו גם בג"ץ 2618/22 </w:t>
      </w:r>
      <w:r>
        <w:rPr>
          <w:rFonts w:ascii="Century" w:hAnsi="Century" w:cs="Miriam"/>
          <w:b/>
          <w:spacing w:val="0"/>
          <w:sz w:val="22"/>
          <w:szCs w:val="24"/>
          <w:rtl/>
        </w:rPr>
        <w:t>פרי דוד בע"מ נ' המועצה לייצור צמחים ולשיווקם</w:t>
      </w:r>
      <w:r>
        <w:rPr>
          <w:rtl/>
        </w:rPr>
        <w:t xml:space="preserve">, פסקה 12 (18.5.2022)).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אכן, במישור ההיגיון הצרוף, ניתן היה </w:t>
      </w:r>
      <w:r>
        <w:rPr>
          <w:rFonts w:hint="cs"/>
          <w:rtl/>
        </w:rPr>
        <w:t xml:space="preserve">להבחין </w:t>
      </w:r>
      <w:r>
        <w:rPr>
          <w:rtl/>
        </w:rPr>
        <w:t>בין סוגי עניינים שונים הנוגעים לבחירות, ולקבוע ביחס לכל אחד מהם את 'יריית הפתיחה' ה</w:t>
      </w:r>
      <w:r>
        <w:rPr>
          <w:rFonts w:hint="cs"/>
          <w:rtl/>
        </w:rPr>
        <w:t>ראויה והנאותה</w:t>
      </w:r>
      <w:r>
        <w:rPr>
          <w:rtl/>
        </w:rPr>
        <w:t xml:space="preserve"> לו</w:t>
      </w:r>
      <w:r>
        <w:rPr>
          <w:rFonts w:hint="cs"/>
          <w:rtl/>
        </w:rPr>
        <w:t>.</w:t>
      </w:r>
      <w:r>
        <w:rPr>
          <w:rtl/>
        </w:rPr>
        <w:t xml:space="preserve"> יש גם יסוד לטענה, כי המועד שנקבע בעניין </w:t>
      </w:r>
      <w:r>
        <w:rPr>
          <w:rFonts w:ascii="Century" w:hAnsi="Century" w:cs="Miriam"/>
          <w:b/>
          <w:spacing w:val="0"/>
          <w:sz w:val="22"/>
          <w:szCs w:val="24"/>
          <w:rtl/>
        </w:rPr>
        <w:t>לוינטל</w:t>
      </w:r>
      <w:r>
        <w:rPr>
          <w:rtl/>
        </w:rPr>
        <w:t xml:space="preserve"> – יום השליפה הראשונה של פנקס הבוחרים – לוקה במידה של שרירותיות, שכן במישור המעשי, מערכת הבחירות מתחילה</w:t>
      </w:r>
      <w:r>
        <w:rPr>
          <w:rFonts w:hint="cs"/>
          <w:rtl/>
        </w:rPr>
        <w:t>,</w:t>
      </w:r>
      <w:r>
        <w:rPr>
          <w:rtl/>
        </w:rPr>
        <w:t xml:space="preserve"> במידה רבה</w:t>
      </w:r>
      <w:r>
        <w:rPr>
          <w:rFonts w:hint="cs"/>
          <w:rtl/>
        </w:rPr>
        <w:t>,</w:t>
      </w:r>
      <w:r>
        <w:rPr>
          <w:rtl/>
        </w:rPr>
        <w:t xml:space="preserve"> מיד עם סיומה של קודמת</w:t>
      </w:r>
      <w:r>
        <w:rPr>
          <w:rFonts w:hint="cs"/>
          <w:rtl/>
        </w:rPr>
        <w:t>ה</w:t>
      </w:r>
      <w:r>
        <w:rPr>
          <w:rtl/>
        </w:rPr>
        <w:t>. טענות מעין אלו הושמעו בדיוני ועדת הפנים. ואולם בחשבון אחרון, סבורני כי אם ניתן דברינו לשיעורין – לעניין פלוני תחל תקופת הבחירות במועד א', בעוד שלעניין פלמוני תחל במועד ב' – עשוי הדבר להביא לאנדרלמוסיה, לחוסר ודאות, ולהותרת הדלת פרוצה בפני שינויים עתידיים בכללי בחירות</w:t>
      </w:r>
      <w:r>
        <w:rPr>
          <w:rFonts w:hint="cs"/>
          <w:rtl/>
        </w:rPr>
        <w:t xml:space="preserve">, כאלה שמחוקקים ושופטים, </w:t>
      </w:r>
      <w:r>
        <w:rPr>
          <w:rtl/>
        </w:rPr>
        <w:t xml:space="preserve">טרם נתנו דעתם </w:t>
      </w:r>
      <w:r>
        <w:rPr>
          <w:rFonts w:hint="cs"/>
          <w:rtl/>
        </w:rPr>
        <w:t>ע</w:t>
      </w:r>
      <w:r>
        <w:rPr>
          <w:rtl/>
        </w:rPr>
        <w:t>ל</w:t>
      </w:r>
      <w:r>
        <w:rPr>
          <w:rFonts w:hint="cs"/>
          <w:rtl/>
        </w:rPr>
        <w:t xml:space="preserve"> </w:t>
      </w:r>
      <w:r>
        <w:rPr>
          <w:rtl/>
        </w:rPr>
        <w:t>'</w:t>
      </w:r>
      <w:r>
        <w:rPr>
          <w:rFonts w:hint="cs"/>
          <w:rtl/>
        </w:rPr>
        <w:t>ה</w:t>
      </w:r>
      <w:r>
        <w:rPr>
          <w:rtl/>
        </w:rPr>
        <w:t xml:space="preserve">מועד הקובע' </w:t>
      </w:r>
      <w:r>
        <w:rPr>
          <w:rFonts w:hint="cs"/>
          <w:rtl/>
        </w:rPr>
        <w:t>לגביה</w:t>
      </w:r>
      <w:r>
        <w:rPr>
          <w:rtl/>
        </w:rPr>
        <w:t xml:space="preserve">ם. טוב נעשה אפוא אם נבסס ונבצר את מסגרת הזמן שנקבעה בעניין </w:t>
      </w:r>
      <w:r>
        <w:rPr>
          <w:rFonts w:ascii="Century" w:hAnsi="Century" w:cs="Miriam"/>
          <w:b/>
          <w:spacing w:val="0"/>
          <w:sz w:val="22"/>
          <w:szCs w:val="24"/>
          <w:rtl/>
        </w:rPr>
        <w:t>לוינטל</w:t>
      </w:r>
      <w:r>
        <w:rPr>
          <w:rtl/>
        </w:rPr>
        <w:t>, בשים לב לרגישותם של כללי הבחירות, ולחשיבות הא</w:t>
      </w:r>
      <w:r>
        <w:rPr>
          <w:rFonts w:hint="cs"/>
          <w:rtl/>
        </w:rPr>
        <w:t>ֵ</w:t>
      </w:r>
      <w:r>
        <w:rPr>
          <w:rtl/>
        </w:rPr>
        <w:t xml:space="preserve">מון בתוצאות יום הבוחר. </w:t>
      </w:r>
      <w:r>
        <w:rPr>
          <w:rFonts w:hint="cs"/>
          <w:rtl/>
        </w:rPr>
        <w:t xml:space="preserve">בעניין זה, דומני, כי </w:t>
      </w:r>
      <w:r>
        <w:rPr>
          <w:rtl/>
        </w:rPr>
        <w:t>'אמת ויציב – יציב עדיף'.</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pPr>
      <w:r>
        <w:rPr>
          <w:rtl/>
        </w:rPr>
        <w:t xml:space="preserve">תיקון 53 נחקק </w:t>
      </w:r>
      <w:r>
        <w:rPr>
          <w:rFonts w:hint="cs"/>
          <w:rtl/>
        </w:rPr>
        <w:t xml:space="preserve">אפוא </w:t>
      </w:r>
      <w:r>
        <w:rPr>
          <w:rtl/>
        </w:rPr>
        <w:t>לאחר שרכבת הבחירות יצאה מהתחנה</w:t>
      </w:r>
      <w:r>
        <w:rPr>
          <w:rFonts w:hint="cs"/>
          <w:rtl/>
        </w:rPr>
        <w:t xml:space="preserve"> לדרכה</w:t>
      </w:r>
      <w:r>
        <w:rPr>
          <w:rtl/>
        </w:rPr>
        <w:t xml:space="preserve">. בשלב זה, שינוי מהותי בכללי הבחירות פוגע באינטרס ההסתמכות של אלו שפעלו וכלכלו </w:t>
      </w:r>
      <w:r>
        <w:rPr>
          <w:rFonts w:hint="cs"/>
          <w:rtl/>
        </w:rPr>
        <w:t xml:space="preserve">את </w:t>
      </w:r>
      <w:r>
        <w:rPr>
          <w:rtl/>
        </w:rPr>
        <w:t xml:space="preserve">צעדיהם לפי הדין שנהג עובר לשינוי הכללים; ביניהם אף כאלה ששינו </w:t>
      </w:r>
      <w:r>
        <w:rPr>
          <w:rFonts w:hint="cs"/>
          <w:rtl/>
        </w:rPr>
        <w:t xml:space="preserve">את </w:t>
      </w:r>
      <w:r>
        <w:rPr>
          <w:rtl/>
        </w:rPr>
        <w:t xml:space="preserve">מצבם לרעה בהסתמך על כך (בג"ץ 606/01 </w:t>
      </w:r>
      <w:r>
        <w:rPr>
          <w:rFonts w:ascii="Century" w:hAnsi="Century" w:cs="Miriam"/>
          <w:b/>
          <w:spacing w:val="0"/>
          <w:sz w:val="22"/>
          <w:szCs w:val="24"/>
          <w:rtl/>
        </w:rPr>
        <w:t xml:space="preserve">ברקה נ' ועדת הבחירות המרכזית לכנסת ה-16 ולראש </w:t>
      </w:r>
      <w:r>
        <w:rPr>
          <w:rFonts w:ascii="Century" w:hAnsi="Century" w:cs="Miriam"/>
          <w:b/>
          <w:spacing w:val="0"/>
          <w:sz w:val="22"/>
          <w:szCs w:val="24"/>
          <w:rtl/>
        </w:rPr>
        <w:lastRenderedPageBreak/>
        <w:t>הממשלה</w:t>
      </w:r>
      <w:r>
        <w:rPr>
          <w:rtl/>
        </w:rPr>
        <w:t xml:space="preserve">, פ"ד נה(2) 577, 581-580 (2001); בג"ץ 65/05 </w:t>
      </w:r>
      <w:r>
        <w:rPr>
          <w:rFonts w:ascii="Century" w:hAnsi="Century" w:cs="Miriam"/>
          <w:b/>
          <w:spacing w:val="0"/>
          <w:sz w:val="22"/>
          <w:szCs w:val="24"/>
          <w:rtl/>
        </w:rPr>
        <w:t>מוסלח נ' ראש ממשלת ישראל</w:t>
      </w:r>
      <w:r>
        <w:rPr>
          <w:rtl/>
        </w:rPr>
        <w:t xml:space="preserve">, פ"ד נט(4) 553, 556 (2005); בג"ץ 5846/11 </w:t>
      </w:r>
      <w:r>
        <w:rPr>
          <w:rFonts w:ascii="Century" w:hAnsi="Century" w:cs="Miriam"/>
          <w:b/>
          <w:spacing w:val="0"/>
          <w:sz w:val="22"/>
          <w:szCs w:val="24"/>
          <w:rtl/>
        </w:rPr>
        <w:t>קעדאן נ' מדינת ישראל</w:t>
      </w:r>
      <w:r>
        <w:rPr>
          <w:rtl/>
        </w:rPr>
        <w:t xml:space="preserve"> (26.9.2011); עניין </w:t>
      </w:r>
      <w:r>
        <w:rPr>
          <w:rFonts w:ascii="Century" w:hAnsi="Century" w:cs="Miriam"/>
          <w:b/>
          <w:spacing w:val="0"/>
          <w:sz w:val="22"/>
          <w:szCs w:val="24"/>
          <w:rtl/>
        </w:rPr>
        <w:t>לוינטל</w:t>
      </w:r>
      <w:r>
        <w:rPr>
          <w:rtl/>
        </w:rPr>
        <w:t>, בפסקה 11). כפי שציין חברי</w:t>
      </w:r>
      <w:r>
        <w:rPr>
          <w:rFonts w:hint="cs"/>
          <w:rtl/>
        </w:rPr>
        <w:t>,</w:t>
      </w:r>
      <w:r>
        <w:rPr>
          <w:rtl/>
        </w:rPr>
        <w:t xml:space="preserve"> </w:t>
      </w:r>
      <w:r>
        <w:rPr>
          <w:rFonts w:hint="cs"/>
          <w:rtl/>
        </w:rPr>
        <w:t>מ"מ הנשיא</w:t>
      </w:r>
      <w:r>
        <w:rPr>
          <w:rtl/>
        </w:rPr>
        <w:t xml:space="preserve">, עמידה על </w:t>
      </w:r>
      <w:r>
        <w:rPr>
          <w:rFonts w:ascii="Century" w:hAnsi="Century" w:cs="Miriam"/>
          <w:b/>
          <w:spacing w:val="0"/>
          <w:sz w:val="22"/>
          <w:szCs w:val="24"/>
          <w:rtl/>
        </w:rPr>
        <w:t>"כללי משחק עקביים"</w:t>
      </w:r>
      <w:r>
        <w:rPr>
          <w:rtl/>
        </w:rPr>
        <w:t xml:space="preserve">, והימנעות משינויַם </w:t>
      </w:r>
      <w:r>
        <w:rPr>
          <w:rFonts w:ascii="Century" w:hAnsi="Century" w:cs="Miriam"/>
          <w:b/>
          <w:spacing w:val="0"/>
          <w:sz w:val="22"/>
          <w:szCs w:val="24"/>
          <w:rtl/>
        </w:rPr>
        <w:t>בתוך</w:t>
      </w:r>
      <w:r>
        <w:rPr>
          <w:rtl/>
        </w:rPr>
        <w:t xml:space="preserve"> תקופת הבחירות, היא חיונית מאין-כמותה לקיומה </w:t>
      </w:r>
      <w:r>
        <w:rPr>
          <w:rFonts w:hint="cs"/>
          <w:rtl/>
        </w:rPr>
        <w:t xml:space="preserve">של </w:t>
      </w:r>
      <w:r>
        <w:rPr>
          <w:rtl/>
        </w:rPr>
        <w:t>מערכת בחירות תקינה והוגנת. אם לא נאחז בכללים עקביים וברורים – שלא ניתן לשנ</w:t>
      </w:r>
      <w:r>
        <w:rPr>
          <w:rFonts w:hint="cs"/>
          <w:rtl/>
        </w:rPr>
        <w:t>ו</w:t>
      </w:r>
      <w:r>
        <w:rPr>
          <w:rtl/>
        </w:rPr>
        <w:t>תם במהלך תקופת הבחירות – לא י</w:t>
      </w:r>
      <w:r>
        <w:rPr>
          <w:rFonts w:hint="cs"/>
          <w:rtl/>
        </w:rPr>
        <w:t>ֵ</w:t>
      </w:r>
      <w:r>
        <w:rPr>
          <w:rtl/>
        </w:rPr>
        <w:t xml:space="preserve">דעו השחקנים הפוליטיים כיצד לנהוג: אם להתמודד בבחירות, אם ליטול על עצמם התחייבויות שונות, אם לבצע פעולות הכנה והיערכות, </w:t>
      </w:r>
      <w:r>
        <w:rPr>
          <w:rFonts w:hint="cs"/>
          <w:rtl/>
        </w:rPr>
        <w:t xml:space="preserve">אם לחדול, </w:t>
      </w:r>
      <w:r>
        <w:rPr>
          <w:rtl/>
        </w:rPr>
        <w:t xml:space="preserve">ועוד כהנה וכהנה; </w:t>
      </w:r>
      <w:r>
        <w:rPr>
          <w:rFonts w:hint="cs"/>
          <w:rtl/>
        </w:rPr>
        <w:t>תוהו ובוהו.</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pPr>
      <w:r>
        <w:rPr>
          <w:rtl/>
        </w:rPr>
        <w:t xml:space="preserve">בעתירות שלפנינו הובאו ראיות למכביר, </w:t>
      </w:r>
      <w:r>
        <w:rPr>
          <w:rFonts w:hint="cs"/>
          <w:rtl/>
        </w:rPr>
        <w:t>על כך ש</w:t>
      </w:r>
      <w:r>
        <w:rPr>
          <w:rtl/>
        </w:rPr>
        <w:t>החשש מפני פגיעה באינטרס ההסתמכות של המתמודדים בבחירות</w:t>
      </w:r>
      <w:r>
        <w:rPr>
          <w:rFonts w:hint="cs"/>
          <w:rtl/>
        </w:rPr>
        <w:t xml:space="preserve">, הוא ממשי. </w:t>
      </w:r>
      <w:r>
        <w:rPr>
          <w:rtl/>
        </w:rPr>
        <w:t>כמתואר בחוות דעתו של חברי</w:t>
      </w:r>
      <w:r>
        <w:rPr>
          <w:rFonts w:hint="cs"/>
          <w:rtl/>
        </w:rPr>
        <w:t>,</w:t>
      </w:r>
      <w:r>
        <w:rPr>
          <w:rtl/>
        </w:rPr>
        <w:t xml:space="preserve"> מספר מועמדים לראשות העיר טבריה קיבלו החלטות, ביצעו שיתופי פעולה, ואף החליטו אם להתמודד בבחירות</w:t>
      </w:r>
      <w:r>
        <w:rPr>
          <w:rFonts w:hint="cs"/>
          <w:rtl/>
        </w:rPr>
        <w:t>, אם לאו</w:t>
      </w:r>
      <w:r>
        <w:rPr>
          <w:rtl/>
        </w:rPr>
        <w:t xml:space="preserve"> –</w:t>
      </w:r>
      <w:r>
        <w:rPr>
          <w:rFonts w:hint="cs"/>
          <w:rtl/>
        </w:rPr>
        <w:t xml:space="preserve"> </w:t>
      </w:r>
      <w:r>
        <w:rPr>
          <w:rtl/>
        </w:rPr>
        <w:t>על יסוד הכלל שנהג עובר לתיקון 53, שאסר על יו"ר הו</w:t>
      </w:r>
      <w:r>
        <w:rPr>
          <w:rFonts w:hint="cs"/>
          <w:rtl/>
        </w:rPr>
        <w:t>ו</w:t>
      </w:r>
      <w:r>
        <w:rPr>
          <w:rtl/>
        </w:rPr>
        <w:t>עדה הממונה בעיר, להתמודד בבחירות הקרובות (פסקה 27</w:t>
      </w:r>
      <w:r>
        <w:rPr>
          <w:rFonts w:hint="cs"/>
          <w:rtl/>
        </w:rPr>
        <w:t xml:space="preserve">). </w:t>
      </w:r>
      <w:r>
        <w:rPr>
          <w:rtl/>
        </w:rPr>
        <w:t>ברי אפוא, כי שינוי הכלל האמור יביא לפגיעה באינטרס ההסתמכות</w:t>
      </w:r>
      <w:r>
        <w:rPr>
          <w:rFonts w:hint="cs"/>
          <w:rtl/>
        </w:rPr>
        <w:t xml:space="preserve">; </w:t>
      </w:r>
      <w:r>
        <w:rPr>
          <w:rtl/>
        </w:rPr>
        <w:t>תוצאה שכזו</w:t>
      </w:r>
      <w:r>
        <w:rPr>
          <w:rFonts w:hint="cs"/>
          <w:rtl/>
        </w:rPr>
        <w:t>,</w:t>
      </w:r>
      <w:r>
        <w:rPr>
          <w:rtl/>
        </w:rPr>
        <w:t xml:space="preserve"> קשה לה</w:t>
      </w:r>
      <w:r>
        <w:rPr>
          <w:rFonts w:hint="cs"/>
          <w:rtl/>
        </w:rPr>
        <w:t>לו</w:t>
      </w:r>
      <w:r>
        <w:rPr>
          <w:rtl/>
        </w:rPr>
        <w:t xml:space="preserve">ם. </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למעשה, כפי שעולה </w:t>
      </w:r>
      <w:r>
        <w:rPr>
          <w:rFonts w:hint="cs"/>
          <w:rtl/>
        </w:rPr>
        <w:t>מ</w:t>
      </w:r>
      <w:r>
        <w:rPr>
          <w:rtl/>
        </w:rPr>
        <w:t>דיוני ועדת הפנים, גם חברי הכנסת שדנו בתיקון 53 דנן, לא חלקו על כך שמדובר ב</w:t>
      </w:r>
      <w:r>
        <w:rPr>
          <w:rFonts w:ascii="Century" w:hAnsi="Century" w:cs="Miriam"/>
          <w:b/>
          <w:spacing w:val="0"/>
          <w:szCs w:val="24"/>
          <w:rtl/>
        </w:rPr>
        <w:t>"כלל גדול [הוא] בדיני הבחירות"</w:t>
      </w:r>
      <w:r>
        <w:rPr>
          <w:rtl/>
        </w:rPr>
        <w:t xml:space="preserve"> (עניין </w:t>
      </w:r>
      <w:r>
        <w:rPr>
          <w:rFonts w:ascii="Century" w:hAnsi="Century" w:cs="Miriam"/>
          <w:b/>
          <w:spacing w:val="0"/>
          <w:szCs w:val="24"/>
          <w:rtl/>
        </w:rPr>
        <w:t>מוסלח</w:t>
      </w:r>
      <w:r>
        <w:rPr>
          <w:rtl/>
        </w:rPr>
        <w:t>, בעמוד 556) – כזה שאין לסטות ממנו. חברי</w:t>
      </w:r>
      <w:r>
        <w:rPr>
          <w:rFonts w:hint="cs"/>
          <w:rtl/>
        </w:rPr>
        <w:t>,</w:t>
      </w:r>
      <w:r>
        <w:rPr>
          <w:rtl/>
        </w:rPr>
        <w:t xml:space="preserve"> </w:t>
      </w:r>
      <w:r>
        <w:rPr>
          <w:rFonts w:hint="cs"/>
          <w:rtl/>
        </w:rPr>
        <w:t xml:space="preserve">מ"מ הנשיא, בדוּנוֹ </w:t>
      </w:r>
      <w:r>
        <w:rPr>
          <w:rtl/>
        </w:rPr>
        <w:t xml:space="preserve">בתכלית הסובייקטיבית של התיקון, מציין כי </w:t>
      </w:r>
      <w:r>
        <w:rPr>
          <w:rFonts w:ascii="Century" w:hAnsi="Century" w:cs="Miriam"/>
          <w:b/>
          <w:spacing w:val="0"/>
          <w:szCs w:val="24"/>
          <w:rtl/>
        </w:rPr>
        <w:t>"דומה כי המחוקק לא התכוון לשנות את כללי הבחירות בתוך תקופת הבחירות (הגם שבהקשר זה התגלעה מחלוקת בשאלה מתי החלה תקופה זו)"</w:t>
      </w:r>
      <w:r>
        <w:rPr>
          <w:rtl/>
        </w:rPr>
        <w:t xml:space="preserve"> (פסקה 36). חברי הכנסת שקידמו את התיקון ראו עצמם, ככלל, כפופים לעיקרון לפיו אין מקום ל'שינוי כללי המשחק תוך כדי המשחק', א</w:t>
      </w:r>
      <w:r>
        <w:rPr>
          <w:rFonts w:hint="cs"/>
          <w:rtl/>
        </w:rPr>
        <w:t xml:space="preserve">ך </w:t>
      </w:r>
      <w:r>
        <w:rPr>
          <w:rtl/>
        </w:rPr>
        <w:t xml:space="preserve">זיהו את 'שריקת הפתיחה' עם נקודת זמן מאוחרת יותר; קרי – הם סברו כי תקופת הבחירות </w:t>
      </w:r>
      <w:r>
        <w:rPr>
          <w:rFonts w:hint="cs"/>
          <w:rtl/>
        </w:rPr>
        <w:t>טרם</w:t>
      </w:r>
      <w:r>
        <w:rPr>
          <w:rtl/>
        </w:rPr>
        <w:t xml:space="preserve"> החלה</w:t>
      </w:r>
      <w:r>
        <w:rPr>
          <w:rFonts w:hint="cs"/>
          <w:rtl/>
        </w:rPr>
        <w:t>.</w:t>
      </w:r>
      <w:r>
        <w:rPr>
          <w:rtl/>
        </w:rPr>
        <w:t xml:space="preserve"> נקודת מוצא זו, </w:t>
      </w:r>
      <w:r>
        <w:rPr>
          <w:rFonts w:hint="cs"/>
          <w:rtl/>
        </w:rPr>
        <w:t xml:space="preserve">באה לידי ביטוי, </w:t>
      </w:r>
      <w:r>
        <w:rPr>
          <w:rtl/>
        </w:rPr>
        <w:t>הן במילים</w:t>
      </w:r>
      <w:r>
        <w:rPr>
          <w:rFonts w:hint="cs"/>
          <w:rtl/>
        </w:rPr>
        <w:t>,</w:t>
      </w:r>
      <w:r>
        <w:rPr>
          <w:rtl/>
        </w:rPr>
        <w:t xml:space="preserve"> הן במעשים. במילים, למשל</w:t>
      </w:r>
      <w:r>
        <w:rPr>
          <w:rFonts w:hint="cs"/>
          <w:rtl/>
        </w:rPr>
        <w:t>,</w:t>
      </w:r>
      <w:r>
        <w:rPr>
          <w:rtl/>
        </w:rPr>
        <w:t xml:space="preserve"> דבריו של יוזם החוק, ח"כ עמית הלוי: </w:t>
      </w:r>
      <w:r>
        <w:rPr>
          <w:rFonts w:ascii="Century" w:hAnsi="Century" w:cs="Miriam"/>
          <w:b/>
          <w:spacing w:val="0"/>
          <w:sz w:val="22"/>
          <w:szCs w:val="24"/>
          <w:rtl/>
        </w:rPr>
        <w:t>"</w:t>
      </w:r>
      <w:r>
        <w:rPr>
          <w:rFonts w:ascii="Century" w:hAnsi="Century" w:cs="Miriam"/>
          <w:b/>
          <w:spacing w:val="0"/>
          <w:sz w:val="22"/>
          <w:szCs w:val="24"/>
          <w:rtl/>
          <w:lang w:eastAsia="he-IL"/>
        </w:rPr>
        <w:t>אנ</w:t>
      </w:r>
      <w:bookmarkStart w:id="139" w:name="_ETM_Q1_693908"/>
      <w:bookmarkEnd w:id="139"/>
      <w:r>
        <w:rPr>
          <w:rFonts w:ascii="Century" w:hAnsi="Century" w:cs="Miriam"/>
          <w:b/>
          <w:spacing w:val="0"/>
          <w:sz w:val="22"/>
          <w:szCs w:val="24"/>
          <w:rtl/>
          <w:lang w:eastAsia="he-IL"/>
        </w:rPr>
        <w:t xml:space="preserve">י </w:t>
      </w:r>
      <w:bookmarkStart w:id="140" w:name="_ETM_Q1_694175"/>
      <w:bookmarkEnd w:id="140"/>
      <w:r>
        <w:rPr>
          <w:rFonts w:ascii="Century" w:hAnsi="Century" w:cs="Miriam"/>
          <w:b/>
          <w:spacing w:val="0"/>
          <w:sz w:val="22"/>
          <w:szCs w:val="24"/>
          <w:rtl/>
          <w:lang w:eastAsia="he-IL"/>
        </w:rPr>
        <w:t>מקבל את הטענה כשלעצמה, שלא משנים את כל</w:t>
      </w:r>
      <w:bookmarkStart w:id="141" w:name="_ETM_Q1_698153"/>
      <w:bookmarkEnd w:id="141"/>
      <w:r>
        <w:rPr>
          <w:rFonts w:ascii="Century" w:hAnsi="Century" w:cs="Miriam"/>
          <w:b/>
          <w:spacing w:val="0"/>
          <w:sz w:val="22"/>
          <w:szCs w:val="24"/>
          <w:rtl/>
          <w:lang w:eastAsia="he-IL"/>
        </w:rPr>
        <w:t>לי המשחק</w:t>
      </w:r>
      <w:bookmarkStart w:id="142" w:name="_ETM_Q1_699666"/>
      <w:bookmarkEnd w:id="142"/>
      <w:r>
        <w:rPr>
          <w:rFonts w:ascii="Century" w:hAnsi="Century" w:cs="Miriam"/>
          <w:b/>
          <w:spacing w:val="0"/>
          <w:sz w:val="22"/>
          <w:szCs w:val="24"/>
          <w:rtl/>
          <w:lang w:eastAsia="he-IL"/>
        </w:rPr>
        <w:t xml:space="preserve"> תוך כדי המשחק. רק השאלה הרלוונטית היא שאלה מה מועד,</w:t>
      </w:r>
      <w:bookmarkStart w:id="143" w:name="_ETM_Q1_705615"/>
      <w:bookmarkEnd w:id="143"/>
      <w:r>
        <w:rPr>
          <w:rFonts w:ascii="Century" w:hAnsi="Century" w:cs="Miriam"/>
          <w:b/>
          <w:spacing w:val="0"/>
          <w:sz w:val="22"/>
          <w:szCs w:val="24"/>
          <w:rtl/>
          <w:lang w:eastAsia="he-IL"/>
        </w:rPr>
        <w:t xml:space="preserve"> מהו מועד שריקת</w:t>
      </w:r>
      <w:bookmarkStart w:id="144" w:name="_ETM_Q1_705110"/>
      <w:bookmarkEnd w:id="144"/>
      <w:r>
        <w:rPr>
          <w:rFonts w:ascii="Century" w:hAnsi="Century" w:cs="Miriam"/>
          <w:b/>
          <w:spacing w:val="0"/>
          <w:sz w:val="22"/>
          <w:szCs w:val="24"/>
          <w:rtl/>
          <w:lang w:eastAsia="he-IL"/>
        </w:rPr>
        <w:t xml:space="preserve"> הפתיחה. אנחנו, אדוני יושב הראש, אנ</w:t>
      </w:r>
      <w:bookmarkStart w:id="145" w:name="_ETM_Q1_706379"/>
      <w:bookmarkEnd w:id="145"/>
      <w:r>
        <w:rPr>
          <w:rFonts w:ascii="Century" w:hAnsi="Century" w:cs="Miriam"/>
          <w:b/>
          <w:spacing w:val="0"/>
          <w:sz w:val="22"/>
          <w:szCs w:val="24"/>
          <w:rtl/>
          <w:lang w:eastAsia="he-IL"/>
        </w:rPr>
        <w:t xml:space="preserve">חנו אפילו </w:t>
      </w:r>
      <w:bookmarkStart w:id="146" w:name="_ETM_Q1_707323"/>
      <w:bookmarkEnd w:id="146"/>
      <w:r>
        <w:rPr>
          <w:rFonts w:ascii="Century" w:hAnsi="Century" w:cs="Miriam"/>
          <w:b/>
          <w:spacing w:val="0"/>
          <w:sz w:val="22"/>
          <w:szCs w:val="24"/>
          <w:rtl/>
          <w:lang w:eastAsia="he-IL"/>
        </w:rPr>
        <w:t>לא באצטדיון. כיוון שהזמן הרלוונטי הוא מינוי מועמ</w:t>
      </w:r>
      <w:bookmarkStart w:id="147" w:name="_ETM_Q1_713481"/>
      <w:bookmarkEnd w:id="147"/>
      <w:r>
        <w:rPr>
          <w:rFonts w:ascii="Century" w:hAnsi="Century" w:cs="Miriam"/>
          <w:b/>
          <w:spacing w:val="0"/>
          <w:sz w:val="22"/>
          <w:szCs w:val="24"/>
          <w:rtl/>
          <w:lang w:eastAsia="he-IL"/>
        </w:rPr>
        <w:t>דים</w:t>
      </w:r>
      <w:r>
        <w:rPr>
          <w:rFonts w:ascii="Century" w:hAnsi="Century" w:cs="Miriam"/>
          <w:b/>
          <w:spacing w:val="0"/>
          <w:sz w:val="22"/>
          <w:szCs w:val="24"/>
          <w:rtl/>
        </w:rPr>
        <w:t>"</w:t>
      </w:r>
      <w:r>
        <w:rPr>
          <w:rtl/>
        </w:rPr>
        <w:t xml:space="preserve"> (פרוטוקול ועדת הפנים מיום 20.6.2023 עמ' 10; וכן ראו בעמ' 101; פרוטוקול ועדת הפנים מיום 29.6.2023, בעמ' 4-3, 25-24). במעשים, התבטא הדבר בכוונתם של יוזמי התיקון להחיש את קידומו, בטרם תישמע 'שריקת הפתיחה', </w:t>
      </w:r>
      <w:r>
        <w:rPr>
          <w:rFonts w:hint="cs"/>
          <w:rtl/>
        </w:rPr>
        <w:t>באמצעות ה</w:t>
      </w:r>
      <w:r>
        <w:rPr>
          <w:rtl/>
        </w:rPr>
        <w:t xml:space="preserve">כלים הפרלמנטריים העומדים לרשותם. כך קוצרה תקופת הנחתה של הצעת החוק על שולחן הכנסת, כנדרש מהצעת חוק פרטית (ראו החלטת ועדת הכנסת בסוף הדיון מיום 5.6.2023), וכפי שמציין חברי, בצדק, </w:t>
      </w:r>
      <w:r>
        <w:rPr>
          <w:rFonts w:ascii="Century" w:hAnsi="Century" w:cs="Miriam"/>
          <w:b/>
          <w:spacing w:val="0"/>
          <w:szCs w:val="24"/>
          <w:rtl/>
        </w:rPr>
        <w:t>"הדחיפות שראו המחוקקים בקידום הצעת החוק מלמדת גם על כך שקיבלו את העמדה העקרונית שלפיה לא ניתן 'לשנות את כללי המשחק תוך כדי המשחק'"</w:t>
      </w:r>
      <w:r>
        <w:rPr>
          <w:rtl/>
        </w:rPr>
        <w:t xml:space="preserve"> (פסקה 42). חברי </w:t>
      </w:r>
      <w:r>
        <w:rPr>
          <w:rFonts w:hint="cs"/>
          <w:rtl/>
        </w:rPr>
        <w:t xml:space="preserve"> </w:t>
      </w:r>
      <w:r>
        <w:rPr>
          <w:rtl/>
        </w:rPr>
        <w:lastRenderedPageBreak/>
        <w:t xml:space="preserve">'זוקף' את בהילות החקיקה גם לחובתה, בהקשר הפרסונלי שבו אדון להלן; ואולם בצדק מציין </w:t>
      </w:r>
      <w:r>
        <w:rPr>
          <w:rFonts w:hint="cs"/>
          <w:rtl/>
        </w:rPr>
        <w:t xml:space="preserve">חברי </w:t>
      </w:r>
      <w:r>
        <w:rPr>
          <w:rtl/>
        </w:rPr>
        <w:t xml:space="preserve">כי יש להבינה, לכל הפחות, גם בהקשר של הרצון להקדים את נקודת הזמן המאוחרת, אותה ראו יוזמי החוק </w:t>
      </w:r>
      <w:r>
        <w:rPr>
          <w:rFonts w:hint="cs"/>
          <w:rtl/>
        </w:rPr>
        <w:t xml:space="preserve">כמכריעה </w:t>
      </w:r>
      <w:r>
        <w:rPr>
          <w:rtl/>
        </w:rPr>
        <w:t xml:space="preserve">– סגירת רשימת המועמדים. </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כוונתם של חברי הכנסת לשמור על העיקרון, להימנע משינוי כללי הבחירות בתוך תקופת הבחירות, משפיעה על ניתוח תכליתו הסובייקטיבית של תיקון 53, במסגרת פרשנות מועד תחולתו. אין </w:t>
      </w:r>
      <w:r>
        <w:rPr>
          <w:rFonts w:hint="cs"/>
          <w:rtl/>
        </w:rPr>
        <w:t>עוררין על כך ש</w:t>
      </w:r>
      <w:r>
        <w:rPr>
          <w:rtl/>
        </w:rPr>
        <w:t>יוזמי החוק ביקשו להחיל את התיקון גם על הבחירות הקרובות; ואולם</w:t>
      </w:r>
      <w:r>
        <w:rPr>
          <w:rFonts w:hint="cs"/>
          <w:rtl/>
        </w:rPr>
        <w:t>,</w:t>
      </w:r>
      <w:r>
        <w:rPr>
          <w:rtl/>
        </w:rPr>
        <w:t xml:space="preserve"> רצון זה נשען על זיהוי שגוי של 'נקודת הזמן' שבה מתחילה התקופה הרלבנטית, זיהוי שהביא לייש</w:t>
      </w:r>
      <w:r>
        <w:rPr>
          <w:rFonts w:hint="cs"/>
          <w:rtl/>
        </w:rPr>
        <w:t>ׂ</w:t>
      </w:r>
      <w:r>
        <w:rPr>
          <w:rtl/>
        </w:rPr>
        <w:t>ו</w:t>
      </w:r>
      <w:r>
        <w:rPr>
          <w:rFonts w:hint="cs"/>
          <w:rtl/>
        </w:rPr>
        <w:t>ּ</w:t>
      </w:r>
      <w:r>
        <w:rPr>
          <w:rtl/>
        </w:rPr>
        <w:t xml:space="preserve">ם שגוי של העיקרון </w:t>
      </w:r>
      <w:r>
        <w:rPr>
          <w:rFonts w:hint="cs"/>
          <w:rtl/>
        </w:rPr>
        <w:t>ש</w:t>
      </w:r>
      <w:r>
        <w:rPr>
          <w:rtl/>
        </w:rPr>
        <w:t xml:space="preserve">אותו </w:t>
      </w:r>
      <w:r>
        <w:rPr>
          <w:rFonts w:hint="cs"/>
          <w:rtl/>
        </w:rPr>
        <w:t xml:space="preserve">הם </w:t>
      </w:r>
      <w:r>
        <w:rPr>
          <w:rtl/>
        </w:rPr>
        <w:t>ביקשו לשמר. סבורני, אם כן</w:t>
      </w:r>
      <w:r>
        <w:rPr>
          <w:rFonts w:hint="cs"/>
          <w:rtl/>
        </w:rPr>
        <w:t xml:space="preserve">, </w:t>
      </w:r>
      <w:r>
        <w:rPr>
          <w:rtl/>
        </w:rPr>
        <w:t>כי התוצאה אלי</w:t>
      </w:r>
      <w:r>
        <w:rPr>
          <w:rFonts w:hint="cs"/>
          <w:rtl/>
        </w:rPr>
        <w:t>ה</w:t>
      </w:r>
      <w:r>
        <w:rPr>
          <w:rtl/>
        </w:rPr>
        <w:t xml:space="preserve"> הגענו, מתיישבת, ולו</w:t>
      </w:r>
      <w:r>
        <w:rPr>
          <w:rFonts w:hint="cs"/>
          <w:rtl/>
        </w:rPr>
        <w:t>ּ גם</w:t>
      </w:r>
      <w:r>
        <w:rPr>
          <w:rtl/>
        </w:rPr>
        <w:t xml:space="preserve"> באופן חלקי, עם תכליתו הסובייקטיבית של תיקון 53; זאת, בהיבט העקרוני של רצון המחוקק לשמור על 'כללי המשחק', גם אם תוך סטייה מכוונת המחוקק בפן הייש</w:t>
      </w:r>
      <w:r>
        <w:rPr>
          <w:rFonts w:hint="cs"/>
          <w:rtl/>
        </w:rPr>
        <w:t>ׂ</w:t>
      </w:r>
      <w:r>
        <w:rPr>
          <w:rtl/>
        </w:rPr>
        <w:t>ו</w:t>
      </w:r>
      <w:r>
        <w:rPr>
          <w:rFonts w:hint="cs"/>
          <w:rtl/>
        </w:rPr>
        <w:t>ּ</w:t>
      </w:r>
      <w:r>
        <w:rPr>
          <w:rtl/>
        </w:rPr>
        <w:t>מי של עיקרון זה, י</w:t>
      </w:r>
      <w:r>
        <w:rPr>
          <w:rFonts w:hint="cs"/>
          <w:rtl/>
        </w:rPr>
        <w:t>ִ</w:t>
      </w:r>
      <w:r>
        <w:rPr>
          <w:rtl/>
        </w:rPr>
        <w:t>ש</w:t>
      </w:r>
      <w:r>
        <w:rPr>
          <w:rFonts w:hint="cs"/>
          <w:rtl/>
        </w:rPr>
        <w:t>ׂ</w:t>
      </w:r>
      <w:r>
        <w:rPr>
          <w:rtl/>
        </w:rPr>
        <w:t>ו</w:t>
      </w:r>
      <w:r>
        <w:rPr>
          <w:rFonts w:hint="cs"/>
          <w:rtl/>
        </w:rPr>
        <w:t>ּ</w:t>
      </w:r>
      <w:r>
        <w:rPr>
          <w:rtl/>
        </w:rPr>
        <w:t xml:space="preserve">ם המתבסס על זיהוי של 'יריית הפתיחה' </w:t>
      </w:r>
      <w:r>
        <w:rPr>
          <w:rFonts w:hint="cs"/>
          <w:rtl/>
        </w:rPr>
        <w:t>ב</w:t>
      </w:r>
      <w:r>
        <w:rPr>
          <w:rtl/>
        </w:rPr>
        <w:t>מועד מאוחר יותר.</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sidRPr="00632E1C">
        <w:rPr>
          <w:rtl/>
        </w:rPr>
        <w:t>חברי</w:t>
      </w:r>
      <w:r w:rsidRPr="00632E1C">
        <w:rPr>
          <w:rFonts w:hint="cs"/>
          <w:rtl/>
        </w:rPr>
        <w:t>,</w:t>
      </w:r>
      <w:r w:rsidRPr="00632E1C">
        <w:rPr>
          <w:rtl/>
        </w:rPr>
        <w:t xml:space="preserve"> </w:t>
      </w:r>
      <w:r w:rsidRPr="00632E1C">
        <w:rPr>
          <w:rFonts w:hint="cs"/>
          <w:rtl/>
        </w:rPr>
        <w:t xml:space="preserve">מ"מ הנשיא, </w:t>
      </w:r>
      <w:r w:rsidRPr="00632E1C">
        <w:rPr>
          <w:rtl/>
        </w:rPr>
        <w:t>כאשר דן בהיבטים הרטרוספקטיביים של תיקון 53, לא צמצם את דיונו ל'חלון הזמן' שנפתח עם תחילתה של תקופת הבחירות, ולקושי הנעוץ ב'שינוי כללי המשחק</w:t>
      </w:r>
      <w:r>
        <w:rPr>
          <w:rtl/>
        </w:rPr>
        <w:t xml:space="preserve"> תוך כדי המשחק', אלא דן גם בהשפעתו בדיעבד על </w:t>
      </w:r>
      <w:r>
        <w:rPr>
          <w:rFonts w:ascii="Century" w:hAnsi="Century" w:cs="Miriam"/>
          <w:b/>
          <w:spacing w:val="0"/>
          <w:sz w:val="22"/>
          <w:szCs w:val="24"/>
          <w:rtl/>
        </w:rPr>
        <w:t>"מארג הזכויות והחובות שניתן בידי חברי הוועדות הממונות"</w:t>
      </w:r>
      <w:r>
        <w:rPr>
          <w:rtl/>
        </w:rPr>
        <w:t xml:space="preserve"> (פסקה 47), תוך שקבע</w:t>
      </w:r>
      <w:r>
        <w:rPr>
          <w:rFonts w:hint="cs"/>
          <w:rtl/>
        </w:rPr>
        <w:t>,</w:t>
      </w:r>
      <w:r>
        <w:rPr>
          <w:rtl/>
        </w:rPr>
        <w:t xml:space="preserve"> כי </w:t>
      </w:r>
      <w:r>
        <w:rPr>
          <w:rFonts w:ascii="Century" w:hAnsi="Century" w:cs="Miriam"/>
          <w:b/>
          <w:spacing w:val="0"/>
          <w:sz w:val="22"/>
          <w:szCs w:val="24"/>
          <w:rtl/>
        </w:rPr>
        <w:t>"תיקון מס' 53 מגלם שינוי בעצם פעולת מינוי הוועדה הממונה, הוא משנה את מערך האיזונים שניצב בבסיס מוסד זה, ולכן תחולתו על ועדות ממונות קיימות משווה תוצאות משפטיות חדשות לעצם פעולת מינוין"</w:t>
      </w:r>
      <w:r>
        <w:rPr>
          <w:rtl/>
        </w:rPr>
        <w:t xml:space="preserve"> (פסקה 50). בהקשר זה, תמים-דעים אני עם חברתי, השופטת </w:t>
      </w:r>
      <w:r>
        <w:rPr>
          <w:rFonts w:ascii="Century" w:hAnsi="Century" w:cs="Miriam"/>
          <w:b/>
          <w:spacing w:val="0"/>
          <w:sz w:val="22"/>
          <w:szCs w:val="24"/>
          <w:rtl/>
        </w:rPr>
        <w:t>י' וילנר</w:t>
      </w:r>
      <w:r>
        <w:rPr>
          <w:rtl/>
        </w:rPr>
        <w:t xml:space="preserve">, כי לאור התוצאה </w:t>
      </w:r>
      <w:r>
        <w:rPr>
          <w:rFonts w:hint="cs"/>
          <w:rtl/>
        </w:rPr>
        <w:t>ש</w:t>
      </w:r>
      <w:r>
        <w:rPr>
          <w:rtl/>
        </w:rPr>
        <w:t xml:space="preserve">אליה הגענו, אין צורך להידרש להיבט זה של רטרוספקטיביות, שכן די בהקפדה החמורה על מניעת שינוי כללי הבחירות, לאחר שמערכת הבחירות החלה, </w:t>
      </w:r>
      <w:r>
        <w:rPr>
          <w:rFonts w:hint="cs"/>
          <w:rtl/>
        </w:rPr>
        <w:t>לצורך ה</w:t>
      </w:r>
      <w:r>
        <w:rPr>
          <w:rtl/>
        </w:rPr>
        <w:t>מהלך הפרשני המביא לדחיית התחולה של תיקון מס' 53. אסתפק בהערה, כי למעשה נראה שגם לשיטת חברי</w:t>
      </w:r>
      <w:r>
        <w:rPr>
          <w:rFonts w:hint="cs"/>
          <w:rtl/>
        </w:rPr>
        <w:t>,</w:t>
      </w:r>
      <w:r>
        <w:rPr>
          <w:rtl/>
        </w:rPr>
        <w:t xml:space="preserve"> </w:t>
      </w:r>
      <w:r>
        <w:rPr>
          <w:rFonts w:hint="cs"/>
          <w:rtl/>
        </w:rPr>
        <w:t xml:space="preserve">מ"מ הנשיא, </w:t>
      </w:r>
      <w:r>
        <w:rPr>
          <w:rtl/>
        </w:rPr>
        <w:t xml:space="preserve">אין מדובר בהיבט רטרוספקטיבי העומד על רגליו העצמאיות, באופן נפרד מהקושי הנעוץ בפגיעה בדיני הבחירות </w:t>
      </w:r>
      <w:r>
        <w:rPr>
          <w:rFonts w:hint="cs"/>
          <w:rtl/>
        </w:rPr>
        <w:t xml:space="preserve">כאמור </w:t>
      </w:r>
      <w:r>
        <w:rPr>
          <w:rtl/>
        </w:rPr>
        <w:t xml:space="preserve">לעיל; אחרת, ניתן היה לסבור כי גם אם תיקון מס' 53 היה נחקק </w:t>
      </w:r>
      <w:r>
        <w:rPr>
          <w:rFonts w:hint="cs"/>
          <w:rtl/>
        </w:rPr>
        <w:t xml:space="preserve">בעיתו ובזמנו, </w:t>
      </w:r>
      <w:r>
        <w:rPr>
          <w:rtl/>
        </w:rPr>
        <w:t xml:space="preserve">לפני שהחלה תקופת הבחירות – קרי, למעלה מ-150 ימים לפני יום הבחירות, שהוא 'המועד הקובע' </w:t>
      </w:r>
      <w:r>
        <w:rPr>
          <w:rFonts w:hint="cs"/>
          <w:rtl/>
        </w:rPr>
        <w:t xml:space="preserve">כאמור </w:t>
      </w:r>
      <w:r>
        <w:rPr>
          <w:rtl/>
        </w:rPr>
        <w:t xml:space="preserve">בעניין </w:t>
      </w:r>
      <w:r>
        <w:rPr>
          <w:rFonts w:ascii="Century" w:hAnsi="Century" w:cs="Miriam"/>
          <w:b/>
          <w:spacing w:val="0"/>
          <w:sz w:val="22"/>
          <w:szCs w:val="24"/>
          <w:rtl/>
        </w:rPr>
        <w:t>לוינטל</w:t>
      </w:r>
      <w:r>
        <w:rPr>
          <w:rtl/>
        </w:rPr>
        <w:t xml:space="preserve"> – היה מקום לקבוע כי מדובר בתיקון פגום מבחינה רטרוספקטיבית; קביעה מעין זו – לא מצאתי בדברי חברי. גם לגישתו, מ</w:t>
      </w:r>
      <w:r>
        <w:rPr>
          <w:rFonts w:hint="cs"/>
          <w:rtl/>
        </w:rPr>
        <w:t>י</w:t>
      </w:r>
      <w:r>
        <w:rPr>
          <w:rtl/>
        </w:rPr>
        <w:t xml:space="preserve">מד זה של רטרוספקטיביות תלוי במידת הקִרבה בזמן של </w:t>
      </w:r>
      <w:r>
        <w:rPr>
          <w:rFonts w:hint="cs"/>
          <w:rtl/>
        </w:rPr>
        <w:t xml:space="preserve">מינוי </w:t>
      </w:r>
      <w:r>
        <w:rPr>
          <w:rtl/>
        </w:rPr>
        <w:t>יו"ר הוועדה הממונה וחבריה, לנקודת הפתיחה של תקופת הבחירות</w:t>
      </w:r>
      <w:r>
        <w:rPr>
          <w:rFonts w:hint="cs"/>
          <w:rtl/>
        </w:rPr>
        <w:t>;</w:t>
      </w:r>
      <w:r>
        <w:rPr>
          <w:rtl/>
        </w:rPr>
        <w:t xml:space="preserve"> וככל שמדובר בפער זמנים משמעותי בין שני מועדים אלה – </w:t>
      </w:r>
      <w:r>
        <w:rPr>
          <w:rFonts w:ascii="Century" w:hAnsi="Century" w:cs="Miriam"/>
          <w:b/>
          <w:spacing w:val="0"/>
          <w:sz w:val="22"/>
          <w:szCs w:val="24"/>
          <w:rtl/>
        </w:rPr>
        <w:t>"מ</w:t>
      </w:r>
      <w:r>
        <w:rPr>
          <w:rFonts w:ascii="Century" w:hAnsi="Century" w:cs="Miriam" w:hint="cs"/>
          <w:b/>
          <w:spacing w:val="0"/>
          <w:sz w:val="22"/>
          <w:szCs w:val="24"/>
          <w:rtl/>
        </w:rPr>
        <w:t>י</w:t>
      </w:r>
      <w:r>
        <w:rPr>
          <w:rFonts w:ascii="Century" w:hAnsi="Century" w:cs="Miriam"/>
          <w:b/>
          <w:spacing w:val="0"/>
          <w:sz w:val="22"/>
          <w:szCs w:val="24"/>
          <w:rtl/>
        </w:rPr>
        <w:t>מד זה נחלש"</w:t>
      </w:r>
      <w:r>
        <w:rPr>
          <w:rtl/>
        </w:rPr>
        <w:t xml:space="preserve"> (</w:t>
      </w:r>
      <w:r>
        <w:rPr>
          <w:rFonts w:ascii="Century" w:hAnsi="Century" w:cs="Miriam"/>
          <w:b/>
          <w:spacing w:val="0"/>
          <w:sz w:val="22"/>
          <w:szCs w:val="24"/>
          <w:rtl/>
        </w:rPr>
        <w:t>שם</w:t>
      </w:r>
      <w:r>
        <w:rPr>
          <w:rtl/>
        </w:rPr>
        <w:t>, פסקה 51). אם כן, לגבי לדידי, עיקר הפגם שנפל בתיקון מס' 53 הוא ב'שינוי כללי המשחק תוך כדי המשחק', באופן החותר תחת כללי-</w:t>
      </w:r>
      <w:r>
        <w:rPr>
          <w:rtl/>
        </w:rPr>
        <w:lastRenderedPageBreak/>
        <w:t>יסוד של דיני הבחירות ופוגע באינטרס ההסתמכות של יתר השחקנים הפוליטיים</w:t>
      </w:r>
      <w:r>
        <w:rPr>
          <w:rFonts w:hint="cs"/>
          <w:rtl/>
        </w:rPr>
        <w:t>;</w:t>
      </w:r>
      <w:r>
        <w:rPr>
          <w:rtl/>
        </w:rPr>
        <w:t xml:space="preserve"> </w:t>
      </w:r>
      <w:r>
        <w:rPr>
          <w:rFonts w:hint="cs"/>
          <w:rtl/>
        </w:rPr>
        <w:t xml:space="preserve">בד בבד, </w:t>
      </w:r>
      <w:r>
        <w:rPr>
          <w:rtl/>
        </w:rPr>
        <w:t xml:space="preserve">אינני מוצא </w:t>
      </w:r>
      <w:r>
        <w:rPr>
          <w:rFonts w:hint="cs"/>
          <w:rtl/>
        </w:rPr>
        <w:t>לנכון</w:t>
      </w:r>
      <w:r>
        <w:rPr>
          <w:rtl/>
        </w:rPr>
        <w:t xml:space="preserve"> לקבוע</w:t>
      </w:r>
      <w:r>
        <w:rPr>
          <w:rFonts w:hint="cs"/>
          <w:rtl/>
        </w:rPr>
        <w:t>,</w:t>
      </w:r>
      <w:r>
        <w:rPr>
          <w:rtl/>
        </w:rPr>
        <w:t xml:space="preserve"> כי התיקון השפיע באופן רטרוספקטיבי על עצם המינוי של יו"ר הוועדה הממונה וחבריה. </w:t>
      </w:r>
    </w:p>
    <w:p w:rsidR="00C413FD" w:rsidRDefault="00C413FD" w:rsidP="00C413FD">
      <w:pPr>
        <w:pStyle w:val="Ruller41"/>
        <w:rPr>
          <w:rtl/>
        </w:rPr>
      </w:pPr>
    </w:p>
    <w:p w:rsidR="00C413FD" w:rsidRDefault="00C413FD" w:rsidP="00C413FD">
      <w:pPr>
        <w:pStyle w:val="Ruller41"/>
        <w:rPr>
          <w:rFonts w:ascii="Century" w:hAnsi="Century" w:cs="Miriam"/>
          <w:b/>
          <w:spacing w:val="0"/>
          <w:szCs w:val="24"/>
          <w:rtl/>
        </w:rPr>
      </w:pPr>
      <w:r>
        <w:rPr>
          <w:rFonts w:ascii="Century" w:hAnsi="Century" w:cs="Miriam"/>
          <w:b/>
          <w:spacing w:val="0"/>
          <w:szCs w:val="24"/>
          <w:rtl/>
        </w:rPr>
        <w:t>האם תיקון 53 מהווה חקיקה פרסונלית?</w:t>
      </w:r>
    </w:p>
    <w:p w:rsidR="00C413FD" w:rsidRDefault="00C413FD" w:rsidP="00C413FD">
      <w:pPr>
        <w:pStyle w:val="Ruller4"/>
        <w:numPr>
          <w:ilvl w:val="0"/>
          <w:numId w:val="26"/>
        </w:numPr>
        <w:tabs>
          <w:tab w:val="clear" w:pos="907"/>
          <w:tab w:val="num" w:pos="1049"/>
        </w:tabs>
        <w:textAlignment w:val="auto"/>
        <w:rPr>
          <w:rtl/>
        </w:rPr>
      </w:pPr>
      <w:r>
        <w:rPr>
          <w:rtl/>
        </w:rPr>
        <w:t>נוכח כובד המשקל שש</w:t>
      </w:r>
      <w:r>
        <w:rPr>
          <w:rFonts w:hint="cs"/>
          <w:rtl/>
        </w:rPr>
        <w:t>ׂ</w:t>
      </w:r>
      <w:r>
        <w:rPr>
          <w:rtl/>
        </w:rPr>
        <w:t>ם חברי</w:t>
      </w:r>
      <w:r>
        <w:rPr>
          <w:rFonts w:hint="cs"/>
          <w:rtl/>
        </w:rPr>
        <w:t>,</w:t>
      </w:r>
      <w:r>
        <w:rPr>
          <w:rtl/>
        </w:rPr>
        <w:t xml:space="preserve"> </w:t>
      </w:r>
      <w:r>
        <w:rPr>
          <w:rFonts w:hint="cs"/>
          <w:rtl/>
        </w:rPr>
        <w:t xml:space="preserve">מ"מ הנשיא, </w:t>
      </w:r>
      <w:r>
        <w:rPr>
          <w:rtl/>
        </w:rPr>
        <w:t>על סוגיית הפרסונליות של תיקון 53, וב</w:t>
      </w:r>
      <w:r>
        <w:rPr>
          <w:rFonts w:hint="cs"/>
          <w:rtl/>
        </w:rPr>
        <w:t>מיוחד</w:t>
      </w:r>
      <w:r>
        <w:rPr>
          <w:rtl/>
        </w:rPr>
        <w:t xml:space="preserve"> בשים לב לקביעתו, לפיה </w:t>
      </w:r>
      <w:r w:rsidRPr="00215FCA">
        <w:rPr>
          <w:rFonts w:ascii="Century" w:hAnsi="Century" w:cs="Miriam"/>
          <w:b/>
          <w:spacing w:val="0"/>
          <w:sz w:val="22"/>
          <w:szCs w:val="24"/>
          <w:rtl/>
        </w:rPr>
        <w:t>"התכלית הפרסונלית ניצבה במוקד כוונת המחוקק במקרה דנן"</w:t>
      </w:r>
      <w:r>
        <w:rPr>
          <w:rtl/>
        </w:rPr>
        <w:t xml:space="preserve"> –</w:t>
      </w:r>
      <w:r>
        <w:rPr>
          <w:rFonts w:hint="cs"/>
          <w:rtl/>
        </w:rPr>
        <w:t xml:space="preserve"> ו</w:t>
      </w:r>
      <w:r>
        <w:rPr>
          <w:rtl/>
        </w:rPr>
        <w:t>למסקנתו, כי התכלית הסובייקטיבית של התיקון מכתיבה את תחולתו המ</w:t>
      </w:r>
      <w:r>
        <w:rPr>
          <w:rFonts w:hint="cs"/>
          <w:rtl/>
        </w:rPr>
        <w:t>י</w:t>
      </w:r>
      <w:r>
        <w:rPr>
          <w:rtl/>
        </w:rPr>
        <w:t>ידית</w:t>
      </w:r>
      <w:r>
        <w:rPr>
          <w:rFonts w:hint="cs"/>
          <w:rtl/>
        </w:rPr>
        <w:t xml:space="preserve">, ראיתי לנכון להידרש לסוגיה, אם גם מבלי להתיימר למצותה. </w:t>
      </w:r>
    </w:p>
    <w:p w:rsidR="00C413FD" w:rsidRPr="00215FCA" w:rsidRDefault="00C413FD" w:rsidP="00C413FD">
      <w:pPr>
        <w:pStyle w:val="Ruller41"/>
        <w:spacing w:line="240" w:lineRule="auto"/>
      </w:pPr>
    </w:p>
    <w:p w:rsidR="00C413FD" w:rsidRDefault="00C413FD" w:rsidP="00C413FD">
      <w:pPr>
        <w:pStyle w:val="Ruller4"/>
        <w:numPr>
          <w:ilvl w:val="0"/>
          <w:numId w:val="26"/>
        </w:numPr>
        <w:tabs>
          <w:tab w:val="clear" w:pos="907"/>
          <w:tab w:val="num" w:pos="1049"/>
        </w:tabs>
        <w:textAlignment w:val="auto"/>
      </w:pPr>
      <w:r>
        <w:rPr>
          <w:rtl/>
        </w:rPr>
        <w:t>מקובל לומר</w:t>
      </w:r>
      <w:r>
        <w:rPr>
          <w:rFonts w:hint="cs"/>
          <w:rtl/>
        </w:rPr>
        <w:t>,</w:t>
      </w:r>
      <w:r>
        <w:rPr>
          <w:rtl/>
        </w:rPr>
        <w:t xml:space="preserve"> כי אחד ממאפייניו הבסיסיים של דבר חקיקה, הוא היותו בעל תחולה כללית ומופשטת, במובן זה שהוא מתייחס לקבוצה בלתי מסוימת של אנשים (בג"ץ 6971/11 </w:t>
      </w:r>
      <w:r>
        <w:rPr>
          <w:rFonts w:ascii="Century" w:hAnsi="Century" w:cs="Miriam"/>
          <w:b/>
          <w:spacing w:val="0"/>
          <w:sz w:val="22"/>
          <w:szCs w:val="24"/>
          <w:rtl/>
        </w:rPr>
        <w:t>איתנית מוצרי בניה בע"מ נ' מדינת ישראל</w:t>
      </w:r>
      <w:r>
        <w:rPr>
          <w:rtl/>
        </w:rPr>
        <w:t xml:space="preserve">, פסקה 35 (2.4.2013); חיים גנז "על כלליותן של נורמות משפטיות" </w:t>
      </w:r>
      <w:r>
        <w:rPr>
          <w:rFonts w:ascii="Century" w:hAnsi="Century" w:cs="Miriam"/>
          <w:b/>
          <w:spacing w:val="0"/>
          <w:sz w:val="22"/>
          <w:szCs w:val="24"/>
          <w:rtl/>
        </w:rPr>
        <w:t>עיוני משפט</w:t>
      </w:r>
      <w:r>
        <w:rPr>
          <w:rtl/>
        </w:rPr>
        <w:t xml:space="preserve"> טז 579, 584-579 (1992); פסקה 58 לחוות דעתו של חברי</w:t>
      </w:r>
      <w:r>
        <w:rPr>
          <w:rFonts w:hint="cs"/>
          <w:rtl/>
        </w:rPr>
        <w:t>,</w:t>
      </w:r>
      <w:r>
        <w:rPr>
          <w:rtl/>
        </w:rPr>
        <w:t xml:space="preserve"> וההפניות שם). כפי שציין חברי</w:t>
      </w:r>
      <w:r>
        <w:rPr>
          <w:rFonts w:hint="cs"/>
          <w:rtl/>
        </w:rPr>
        <w:t xml:space="preserve">, </w:t>
      </w:r>
      <w:r>
        <w:rPr>
          <w:rtl/>
        </w:rPr>
        <w:t>יש הרואים בדרישת הכלליות</w:t>
      </w:r>
      <w:r>
        <w:rPr>
          <w:rFonts w:hint="cs"/>
          <w:rtl/>
        </w:rPr>
        <w:t>,</w:t>
      </w:r>
      <w:r>
        <w:rPr>
          <w:rtl/>
        </w:rPr>
        <w:t xml:space="preserve"> חלק מדרישות</w:t>
      </w:r>
      <w:r>
        <w:rPr>
          <w:rFonts w:hint="cs"/>
          <w:rtl/>
        </w:rPr>
        <w:t xml:space="preserve"> </w:t>
      </w:r>
      <w:r>
        <w:rPr>
          <w:rtl/>
        </w:rPr>
        <w:t xml:space="preserve">המינימום הנחוצות לתוקפה של חקיקה כנורמה משפטית מחייבת, וזאת כנגזרת מעיקרון שלטון החוק במובנו המהותי </w:t>
      </w:r>
      <w:r w:rsidRPr="00943DCE">
        <w:rPr>
          <w:sz w:val="20"/>
          <w:szCs w:val="24"/>
        </w:rPr>
        <w:t xml:space="preserve">LON.L. FULLER, THE MORALITY OF LAW </w:t>
      </w:r>
      <w:r>
        <w:t>(</w:t>
      </w:r>
      <w:r w:rsidRPr="00943DCE">
        <w:rPr>
          <w:sz w:val="22"/>
          <w:szCs w:val="26"/>
        </w:rPr>
        <w:t>1969</w:t>
      </w:r>
      <w:r>
        <w:rPr>
          <w:sz w:val="22"/>
          <w:szCs w:val="26"/>
        </w:rPr>
        <w:t>)</w:t>
      </w:r>
      <w:r>
        <w:t>)</w:t>
      </w:r>
      <w:r>
        <w:rPr>
          <w:rtl/>
        </w:rPr>
        <w:t xml:space="preserve">; אהרן ברק "שלטון החוק ועליונות החוקה" </w:t>
      </w:r>
      <w:r>
        <w:rPr>
          <w:rFonts w:ascii="Century" w:hAnsi="Century" w:cs="Miriam"/>
          <w:b/>
          <w:spacing w:val="0"/>
          <w:sz w:val="22"/>
          <w:szCs w:val="24"/>
          <w:rtl/>
        </w:rPr>
        <w:t>משפט וממשל</w:t>
      </w:r>
      <w:r>
        <w:rPr>
          <w:rtl/>
        </w:rPr>
        <w:t xml:space="preserve"> ה 375, 386-385 (2000)). יש המעגנים דרישה זו בעיקרון הפרדת הרשויות</w:t>
      </w:r>
      <w:r>
        <w:rPr>
          <w:rFonts w:hint="cs"/>
          <w:rtl/>
        </w:rPr>
        <w:t>, משום</w:t>
      </w:r>
      <w:r>
        <w:rPr>
          <w:rtl/>
        </w:rPr>
        <w:t xml:space="preserve"> שחוק שאינו כללי, דהיינו חוק פרסונלי, </w:t>
      </w:r>
      <w:r>
        <w:rPr>
          <w:rFonts w:ascii="Century" w:hAnsi="Century" w:cs="Miriam"/>
          <w:b/>
          <w:spacing w:val="0"/>
          <w:sz w:val="22"/>
          <w:szCs w:val="24"/>
          <w:rtl/>
        </w:rPr>
        <w:t>"יש בו משום התערבות בעניין של הרשות המבצעת (אם העניין הוא מינהלי), או בעניינה של הרשות השופטת (אם העניין הוא שיפוטי)"</w:t>
      </w:r>
      <w:r>
        <w:rPr>
          <w:rtl/>
        </w:rPr>
        <w:t xml:space="preserve"> (אהרן ברק </w:t>
      </w:r>
      <w:r>
        <w:rPr>
          <w:rFonts w:ascii="Century" w:hAnsi="Century" w:cs="Miriam"/>
          <w:b/>
          <w:spacing w:val="0"/>
          <w:sz w:val="22"/>
          <w:szCs w:val="24"/>
          <w:rtl/>
        </w:rPr>
        <w:t>מידתיות במשפט</w:t>
      </w:r>
      <w:r>
        <w:rPr>
          <w:rtl/>
        </w:rPr>
        <w:t xml:space="preserve"> 153 (2010)). אחרים מבססים את דרישת הכלליות על הזכות לשוויון, שהרי חוקים בעלי אופי כללי, מקטינים את החשש מפני רדיפה או התנכלות של המחוקק לפרטים מסוימים מחד גיסא, ומפיגים את החשש מפני העדפה לא מוצדקת של פרטים אחרים מאידך גיסא (מיכל טמיר "חקיקה פרסונלית – חקיקה סלקטיבית?" </w:t>
      </w:r>
      <w:r>
        <w:rPr>
          <w:rFonts w:ascii="Century" w:hAnsi="Century" w:cs="Miriam"/>
          <w:b/>
          <w:spacing w:val="0"/>
          <w:sz w:val="22"/>
          <w:szCs w:val="24"/>
          <w:rtl/>
        </w:rPr>
        <w:t>חוקים</w:t>
      </w:r>
      <w:r>
        <w:rPr>
          <w:rtl/>
        </w:rPr>
        <w:t xml:space="preserve"> יב 173, 175 (2018); להלן: </w:t>
      </w:r>
      <w:r>
        <w:rPr>
          <w:rFonts w:ascii="Century" w:hAnsi="Century" w:cs="Miriam"/>
          <w:b/>
          <w:spacing w:val="0"/>
          <w:sz w:val="22"/>
          <w:szCs w:val="24"/>
          <w:rtl/>
        </w:rPr>
        <w:t>טמיר, חקיקה פרסונלית</w:t>
      </w:r>
      <w:r>
        <w:rPr>
          <w:rtl/>
        </w:rPr>
        <w:t>). אכן, מרגלא בפומייהו של שופטים, הוגי</w:t>
      </w:r>
      <w:r>
        <w:rPr>
          <w:rFonts w:hint="cs"/>
          <w:rtl/>
        </w:rPr>
        <w:t>-</w:t>
      </w:r>
      <w:r>
        <w:rPr>
          <w:rtl/>
        </w:rPr>
        <w:t>דעות ומלומדי</w:t>
      </w:r>
      <w:r>
        <w:rPr>
          <w:rFonts w:hint="cs"/>
          <w:rtl/>
        </w:rPr>
        <w:t>-</w:t>
      </w:r>
      <w:r>
        <w:rPr>
          <w:rtl/>
        </w:rPr>
        <w:t xml:space="preserve">משפט, כי על המחוקק להוציא תחת ידו חוקים כלליים, שאינם תפורים למידותיה של פרסונה כזו או אחרת; חוקים שהיו באים לאוויר העולם גם באקלים ניטרלי – 'מאחורי מסך של בערות'.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Fonts w:hint="cs"/>
          <w:rtl/>
        </w:rPr>
        <w:t>בר</w:t>
      </w:r>
      <w:r>
        <w:rPr>
          <w:rtl/>
        </w:rPr>
        <w:t>ם, בפן המעשי</w:t>
      </w:r>
      <w:r>
        <w:rPr>
          <w:rFonts w:hint="cs"/>
          <w:rtl/>
        </w:rPr>
        <w:t>,</w:t>
      </w:r>
      <w:r>
        <w:rPr>
          <w:rtl/>
        </w:rPr>
        <w:t xml:space="preserve"> המציאות מורכבת יותר; השאלה מתי תסו</w:t>
      </w:r>
      <w:r>
        <w:rPr>
          <w:rFonts w:hint="cs"/>
          <w:rtl/>
        </w:rPr>
        <w:t>ּ</w:t>
      </w:r>
      <w:r>
        <w:rPr>
          <w:rtl/>
        </w:rPr>
        <w:t>וג חקיקה כפרסונלית, אינה פשוטה כלל ועיקר. סבורני, כי את מידת הפרסונליות, או העדר הכלליות, של דבר חקיקה, ניתן להציב על גבי מקשתת (ספקטרום) הנעה בין שני קטבים. אנסה להציג בקצרה, מ</w:t>
      </w:r>
      <w:r>
        <w:rPr>
          <w:rFonts w:hint="cs"/>
          <w:rtl/>
        </w:rPr>
        <w:t xml:space="preserve">ן </w:t>
      </w:r>
      <w:r>
        <w:rPr>
          <w:rtl/>
        </w:rPr>
        <w:t>'הכבד' אל 'הקל' דוגמאות, אמ</w:t>
      </w:r>
      <w:r>
        <w:rPr>
          <w:rFonts w:hint="cs"/>
          <w:rtl/>
        </w:rPr>
        <w:t>י</w:t>
      </w:r>
      <w:r>
        <w:rPr>
          <w:rtl/>
        </w:rPr>
        <w:t xml:space="preserve">תיות או היפותטיות, לחקיקה </w:t>
      </w:r>
      <w:r>
        <w:rPr>
          <w:rtl/>
        </w:rPr>
        <w:lastRenderedPageBreak/>
        <w:t>בעלת מ</w:t>
      </w:r>
      <w:r>
        <w:rPr>
          <w:rFonts w:hint="cs"/>
          <w:rtl/>
        </w:rPr>
        <w:t>י</w:t>
      </w:r>
      <w:r>
        <w:rPr>
          <w:rtl/>
        </w:rPr>
        <w:t>מד פרסונלי, מבלי להתיימר למצות את האפשרויות השונות</w:t>
      </w:r>
      <w:r>
        <w:rPr>
          <w:rFonts w:hint="cs"/>
          <w:rtl/>
        </w:rPr>
        <w:t xml:space="preserve"> כולן;</w:t>
      </w:r>
      <w:r>
        <w:rPr>
          <w:rtl/>
        </w:rPr>
        <w:t xml:space="preserve"> ו</w:t>
      </w:r>
      <w:r>
        <w:rPr>
          <w:rFonts w:hint="cs"/>
          <w:rtl/>
        </w:rPr>
        <w:t xml:space="preserve">זאת </w:t>
      </w:r>
      <w:r>
        <w:rPr>
          <w:rtl/>
        </w:rPr>
        <w:t>על מנת לעמוד על הצורך לדייק בדב</w:t>
      </w:r>
      <w:r>
        <w:rPr>
          <w:rFonts w:hint="cs"/>
          <w:rtl/>
        </w:rPr>
        <w:t>ּ</w:t>
      </w:r>
      <w:r>
        <w:rPr>
          <w:rtl/>
        </w:rPr>
        <w:t xml:space="preserve">רנו על חקיקה פרסונלית.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בקוטב אחד, ניתן להצביע על חקיקה פרסונלית מובהקת, הפונה, על</w:t>
      </w:r>
      <w:r>
        <w:rPr>
          <w:rFonts w:hint="cs"/>
          <w:rtl/>
        </w:rPr>
        <w:t>-</w:t>
      </w:r>
      <w:r>
        <w:rPr>
          <w:rtl/>
        </w:rPr>
        <w:t>פי נוסחה</w:t>
      </w:r>
      <w:r>
        <w:rPr>
          <w:rFonts w:hint="cs"/>
          <w:rtl/>
        </w:rPr>
        <w:t>ּ</w:t>
      </w:r>
      <w:r>
        <w:rPr>
          <w:rtl/>
        </w:rPr>
        <w:t>, ל</w:t>
      </w:r>
      <w:r>
        <w:rPr>
          <w:rFonts w:hint="cs"/>
          <w:rtl/>
        </w:rPr>
        <w:t xml:space="preserve">רשימה </w:t>
      </w:r>
      <w:r>
        <w:rPr>
          <w:rtl/>
        </w:rPr>
        <w:t xml:space="preserve">סגורה של נמענים. גם בתוך קבוצה זו, דומה כי ניתן לעמוד על מדרג מסוים. ישנה חקיקה הנוגעת לפרסונה יחידה, </w:t>
      </w:r>
      <w:r>
        <w:rPr>
          <w:rFonts w:hint="cs"/>
          <w:rtl/>
        </w:rPr>
        <w:t>ו</w:t>
      </w:r>
      <w:r>
        <w:rPr>
          <w:rtl/>
        </w:rPr>
        <w:t>נוקבת בשמה. כזה הוא, למשל, חוק הנשיא חיים ויצמן (גמלה ועזבון), התשי"ג-1953, שכותרתו 'מסגיר</w:t>
      </w:r>
      <w:r>
        <w:rPr>
          <w:rFonts w:hint="cs"/>
          <w:rtl/>
        </w:rPr>
        <w:t>ה</w:t>
      </w:r>
      <w:r>
        <w:rPr>
          <w:rtl/>
        </w:rPr>
        <w:t xml:space="preserve">' את העדר כלליותו, ואף הגדיל </w:t>
      </w:r>
      <w:r>
        <w:rPr>
          <w:rFonts w:hint="cs"/>
          <w:rtl/>
        </w:rPr>
        <w:t xml:space="preserve">חוק זה </w:t>
      </w:r>
      <w:r>
        <w:rPr>
          <w:rtl/>
        </w:rPr>
        <w:t>עשות, ונקב בסעיף 2 שבו, בשמה הפרטי של אלמנת הנשיא הראשון של מדינת ישראל, תוך קביעת הסדר המעניק לה גמלה לכל ימי חייה. ישנה חקיקה הפונה לפרסונה יחידה – אדם או תאגיד – מבלי לנקוב בשמה, א</w:t>
      </w:r>
      <w:r>
        <w:rPr>
          <w:rFonts w:hint="cs"/>
          <w:rtl/>
        </w:rPr>
        <w:t>לא</w:t>
      </w:r>
      <w:r>
        <w:rPr>
          <w:rtl/>
        </w:rPr>
        <w:t xml:space="preserve"> בדרך של 'תפירת' מידות החוק למידותיה הבלעדיות. כזה הוא למשל, ה</w:t>
      </w:r>
      <w:r w:rsidRPr="00252726">
        <w:rPr>
          <w:rtl/>
        </w:rPr>
        <w:t>חוק למניעת מפגעי אסבסט ואבק מזיק</w:t>
      </w:r>
      <w:r>
        <w:rPr>
          <w:rtl/>
        </w:rPr>
        <w:t xml:space="preserve">, התשע"א-2011, אשר עמד במוקד הדיון </w:t>
      </w:r>
      <w:r>
        <w:rPr>
          <w:rFonts w:hint="cs"/>
          <w:rtl/>
        </w:rPr>
        <w:t>ב</w:t>
      </w:r>
      <w:r w:rsidRPr="00252726">
        <w:rPr>
          <w:rtl/>
        </w:rPr>
        <w:t>בג"ץ 6971/11</w:t>
      </w:r>
      <w:r>
        <w:rPr>
          <w:rtl/>
        </w:rPr>
        <w:t xml:space="preserve"> </w:t>
      </w:r>
      <w:r>
        <w:rPr>
          <w:rFonts w:ascii="Century" w:hAnsi="Century" w:cs="Miriam"/>
          <w:b/>
          <w:spacing w:val="0"/>
          <w:sz w:val="22"/>
          <w:szCs w:val="24"/>
          <w:rtl/>
        </w:rPr>
        <w:t>איתנית מוצרי בנייה בע"מ נ' מדינת ישראל</w:t>
      </w:r>
      <w:r>
        <w:rPr>
          <w:rtl/>
        </w:rPr>
        <w:t xml:space="preserve"> (2.4.2013)). חוק זה הטיל חובת תשלומים על </w:t>
      </w:r>
      <w:r>
        <w:rPr>
          <w:rFonts w:ascii="Century" w:hAnsi="Century" w:cs="Miriam"/>
          <w:b/>
          <w:spacing w:val="0"/>
          <w:sz w:val="22"/>
          <w:szCs w:val="24"/>
          <w:rtl/>
        </w:rPr>
        <w:t>"חברות שעסקו במועד שקדם ליום התחילה בייצור אסבסט בגליל המערבי"</w:t>
      </w:r>
      <w:r>
        <w:rPr>
          <w:rtl/>
        </w:rPr>
        <w:t xml:space="preserve">, כאשר בפועל, רק חברה אחת </w:t>
      </w:r>
      <w:r>
        <w:rPr>
          <w:rFonts w:hint="cs"/>
          <w:rtl/>
        </w:rPr>
        <w:t xml:space="preserve">ויחידה </w:t>
      </w:r>
      <w:r>
        <w:rPr>
          <w:rtl/>
        </w:rPr>
        <w:t>עמדה בהגדרה זו. דוגמ</w:t>
      </w:r>
      <w:r>
        <w:rPr>
          <w:rFonts w:hint="cs"/>
          <w:rtl/>
        </w:rPr>
        <w:t>ה</w:t>
      </w:r>
      <w:r>
        <w:rPr>
          <w:rtl/>
        </w:rPr>
        <w:t xml:space="preserve"> שלישית לחקיקה בקטגוריה זו, מתונה קמעא, היא כזו שאינה פונה לאדם או לתאגיד בודד, אלא למספר נמענים – ואולם עדיין עוסקת ברשימה סגורה ולא-כללית. דוגמ</w:t>
      </w:r>
      <w:r>
        <w:rPr>
          <w:rFonts w:hint="cs"/>
          <w:rtl/>
        </w:rPr>
        <w:t>ה</w:t>
      </w:r>
      <w:r>
        <w:rPr>
          <w:rtl/>
        </w:rPr>
        <w:t xml:space="preserve"> לכך ה</w:t>
      </w:r>
      <w:r>
        <w:rPr>
          <w:rFonts w:hint="cs"/>
          <w:rtl/>
        </w:rPr>
        <w:t>י</w:t>
      </w:r>
      <w:r>
        <w:rPr>
          <w:rtl/>
        </w:rPr>
        <w:t xml:space="preserve">א </w:t>
      </w:r>
      <w:r w:rsidRPr="00252726">
        <w:rPr>
          <w:rtl/>
        </w:rPr>
        <w:t>חוק הפסקת הליכים ומחיקת רישומים בעניין תכנית ההתנתקות</w:t>
      </w:r>
      <w:r>
        <w:rPr>
          <w:rtl/>
        </w:rPr>
        <w:t xml:space="preserve">, התש"ע-2010, שעסק במתן חנינה קבוצתית מוגבלת, לאחר מעשה, לקבוצת אנשים מסוימת – </w:t>
      </w:r>
      <w:r>
        <w:rPr>
          <w:rFonts w:hint="cs"/>
          <w:rtl/>
        </w:rPr>
        <w:t xml:space="preserve">כאלו שביצעו </w:t>
      </w:r>
      <w:r>
        <w:rPr>
          <w:rtl/>
        </w:rPr>
        <w:t xml:space="preserve">עבירות מסוימות בתקופת ההתנתקות (ראו: בג"ץ 1213/10 </w:t>
      </w:r>
      <w:r>
        <w:rPr>
          <w:rFonts w:ascii="Century" w:hAnsi="Century" w:cs="Miriam"/>
          <w:b/>
          <w:spacing w:val="0"/>
          <w:sz w:val="22"/>
          <w:szCs w:val="24"/>
          <w:rtl/>
        </w:rPr>
        <w:t>ניר נ' יו"ר הכנסת</w:t>
      </w:r>
      <w:r>
        <w:rPr>
          <w:rtl/>
        </w:rPr>
        <w:t xml:space="preserve"> (23.2.2012)).</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שלוש הדוגמאות </w:t>
      </w:r>
      <w:r>
        <w:rPr>
          <w:rFonts w:hint="cs"/>
          <w:rtl/>
        </w:rPr>
        <w:t>הנ"ל</w:t>
      </w:r>
      <w:r>
        <w:rPr>
          <w:rtl/>
        </w:rPr>
        <w:t>, מצביעות על חוקים הפונים, בנוסחם המפורש, לנמענים מסוימים הניתנים לזיהוי</w:t>
      </w:r>
      <w:r>
        <w:rPr>
          <w:rFonts w:hint="cs"/>
          <w:rtl/>
        </w:rPr>
        <w:t>;</w:t>
      </w:r>
      <w:r>
        <w:rPr>
          <w:rtl/>
        </w:rPr>
        <w:t xml:space="preserve"> ממילא, אינם פונים לקבוצה כללית ובלתי-ידועה של פרטים, ועל כן ניתן להגדירם כבעלי אופי פרסונלי מובהק. כל זאת, כאמור, מבלי להידרש כלל לשאלת ההשלכה המשפטית של סיווג זה. דיוננו בשלב זה, </w:t>
      </w:r>
      <w:r>
        <w:rPr>
          <w:rFonts w:hint="cs"/>
          <w:rtl/>
        </w:rPr>
        <w:t>א</w:t>
      </w:r>
      <w:r>
        <w:rPr>
          <w:rtl/>
        </w:rPr>
        <w:t xml:space="preserve">זכיר, הוא מושגי בלבד.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בהמשכה של המש</w:t>
      </w:r>
      <w:r>
        <w:rPr>
          <w:rFonts w:hint="cs"/>
          <w:rtl/>
        </w:rPr>
        <w:t>ׂ</w:t>
      </w:r>
      <w:r>
        <w:rPr>
          <w:rtl/>
        </w:rPr>
        <w:t xml:space="preserve">רעת, ניתן לחשוב על חקיקה בעלת פרסונליות מובהקת פחות, </w:t>
      </w:r>
      <w:r>
        <w:rPr>
          <w:rFonts w:ascii="Times New Roman" w:hAnsi="Times New Roman"/>
          <w:rtl/>
        </w:rPr>
        <w:t>אשר על</w:t>
      </w:r>
      <w:r>
        <w:rPr>
          <w:rFonts w:ascii="Times New Roman" w:hAnsi="Times New Roman" w:hint="cs"/>
          <w:rtl/>
        </w:rPr>
        <w:t>-</w:t>
      </w:r>
      <w:r>
        <w:rPr>
          <w:rFonts w:ascii="Times New Roman" w:hAnsi="Times New Roman"/>
          <w:rtl/>
        </w:rPr>
        <w:t>פי נוסחה</w:t>
      </w:r>
      <w:r>
        <w:rPr>
          <w:rFonts w:ascii="Times New Roman" w:hAnsi="Times New Roman" w:hint="cs"/>
          <w:rtl/>
        </w:rPr>
        <w:t>ּ</w:t>
      </w:r>
      <w:r>
        <w:rPr>
          <w:rFonts w:ascii="Times New Roman" w:hAnsi="Times New Roman"/>
          <w:rtl/>
        </w:rPr>
        <w:t xml:space="preserve"> פונה לקבוצה כללית </w:t>
      </w:r>
      <w:r>
        <w:rPr>
          <w:rtl/>
        </w:rPr>
        <w:t>של נמע</w:t>
      </w:r>
      <w:r>
        <w:rPr>
          <w:rFonts w:hint="cs"/>
          <w:rtl/>
        </w:rPr>
        <w:t>נ</w:t>
      </w:r>
      <w:r>
        <w:rPr>
          <w:rtl/>
        </w:rPr>
        <w:t>ים, שלא ניתן לזהותם ולהצביע עליהם, ואולם ניכר כי 'נתפרה' בתפרים המיועדים למידותיו של גורם מסוים, באופן ש'טביעות האצבע' הפרסונליות ניכרות בה בנקל. לו</w:t>
      </w:r>
      <w:r>
        <w:rPr>
          <w:rFonts w:hint="cs"/>
          <w:rtl/>
        </w:rPr>
        <w:t>ּ</w:t>
      </w:r>
      <w:r>
        <w:rPr>
          <w:rtl/>
        </w:rPr>
        <w:t xml:space="preserve"> יצויר, למשל, שהתיקון </w:t>
      </w:r>
      <w:r>
        <w:rPr>
          <w:rFonts w:hint="cs"/>
          <w:rtl/>
        </w:rPr>
        <w:t>ש</w:t>
      </w:r>
      <w:r>
        <w:rPr>
          <w:rtl/>
        </w:rPr>
        <w:t xml:space="preserve">בו אנו דנים, היה מתייחס אך ורק לאנשים ששמם הפרטי מתחיל באות ב' ושם משפחתם באות י', הרי שבמובן הטהור, הוא היה מוסיף לפנות לקבוצה בלתי-מסוימת של נמענים; ועם זאת, 'הגילוף' המדויק של נוסח החוק, בשילוב נתוני הרקע הידועים לנו </w:t>
      </w:r>
      <w:r>
        <w:rPr>
          <w:rFonts w:hint="cs"/>
          <w:rtl/>
        </w:rPr>
        <w:t xml:space="preserve">על </w:t>
      </w:r>
      <w:r>
        <w:rPr>
          <w:rtl/>
        </w:rPr>
        <w:t xml:space="preserve">אודות המשיב 4 </w:t>
      </w:r>
      <w:r>
        <w:rPr>
          <w:rtl/>
        </w:rPr>
        <w:lastRenderedPageBreak/>
        <w:t xml:space="preserve">ומניעיו של המחוקק (להלן </w:t>
      </w:r>
      <w:r>
        <w:rPr>
          <w:rFonts w:hint="cs"/>
          <w:rtl/>
        </w:rPr>
        <w:t>א</w:t>
      </w:r>
      <w:r>
        <w:rPr>
          <w:rtl/>
        </w:rPr>
        <w:t>רחיב</w:t>
      </w:r>
      <w:r>
        <w:rPr>
          <w:rFonts w:hint="cs"/>
          <w:rtl/>
        </w:rPr>
        <w:t xml:space="preserve"> על</w:t>
      </w:r>
      <w:r>
        <w:rPr>
          <w:rtl/>
        </w:rPr>
        <w:t xml:space="preserve"> אודות רכיב ה</w:t>
      </w:r>
      <w:r w:rsidRPr="006C4636">
        <w:rPr>
          <w:rFonts w:ascii="Century" w:hAnsi="Century" w:cs="Miriam"/>
          <w:b/>
          <w:spacing w:val="0"/>
          <w:sz w:val="22"/>
          <w:szCs w:val="24"/>
          <w:rtl/>
        </w:rPr>
        <w:t>מניע</w:t>
      </w:r>
      <w:r>
        <w:rPr>
          <w:rtl/>
        </w:rPr>
        <w:t>), היו צובעים את התיקון בצבעים פרסונליים מובהקים.</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rPr>
          <w:rtl/>
        </w:rPr>
      </w:pPr>
      <w:r>
        <w:rPr>
          <w:rtl/>
        </w:rPr>
        <w:t>יתכן כי דוגמ</w:t>
      </w:r>
      <w:r>
        <w:rPr>
          <w:rFonts w:hint="cs"/>
          <w:rtl/>
        </w:rPr>
        <w:t>ה</w:t>
      </w:r>
      <w:r>
        <w:rPr>
          <w:rtl/>
        </w:rPr>
        <w:t xml:space="preserve"> לסוג זה של פרסונליות, מתונה הרבה יותר, ניתן לשאוב מהערות</w:t>
      </w:r>
      <w:r>
        <w:rPr>
          <w:rFonts w:hint="cs"/>
          <w:rtl/>
        </w:rPr>
        <w:t xml:space="preserve"> חברי המותב</w:t>
      </w:r>
      <w:r>
        <w:rPr>
          <w:rtl/>
        </w:rPr>
        <w:t xml:space="preserve"> בפסק הדין </w:t>
      </w:r>
      <w:r>
        <w:rPr>
          <w:rFonts w:hint="cs"/>
          <w:rtl/>
        </w:rPr>
        <w:t>ב</w:t>
      </w:r>
      <w:r>
        <w:rPr>
          <w:rtl/>
        </w:rPr>
        <w:t xml:space="preserve">בג"ץ 8948/22 </w:t>
      </w:r>
      <w:r w:rsidRPr="00040F25">
        <w:rPr>
          <w:rFonts w:ascii="Century" w:hAnsi="Century" w:cs="Miriam"/>
          <w:b/>
          <w:spacing w:val="0"/>
          <w:sz w:val="22"/>
          <w:szCs w:val="24"/>
          <w:rtl/>
        </w:rPr>
        <w:t>אילן שיינפלד נ' הכנסת</w:t>
      </w:r>
      <w:r>
        <w:rPr>
          <w:rtl/>
        </w:rPr>
        <w:t xml:space="preserve"> (‏18.1.2023</w:t>
      </w:r>
      <w:r w:rsidRPr="00040F25">
        <w:rPr>
          <w:rFonts w:ascii="FrankRuehl" w:hAnsi="FrankRuehl"/>
          <w:sz w:val="28"/>
          <w:rtl/>
        </w:rPr>
        <w:t>).</w:t>
      </w:r>
      <w:r>
        <w:rPr>
          <w:rtl/>
        </w:rPr>
        <w:t xml:space="preserve"> </w:t>
      </w:r>
      <w:r>
        <w:rPr>
          <w:rFonts w:hint="cs"/>
          <w:rtl/>
        </w:rPr>
        <w:t xml:space="preserve">שם, </w:t>
      </w:r>
      <w:r>
        <w:rPr>
          <w:rtl/>
        </w:rPr>
        <w:t xml:space="preserve">נדרשו חלק משופטי ההרכב לשאלת הפרסונליות של </w:t>
      </w:r>
      <w:r w:rsidRPr="00040F25">
        <w:rPr>
          <w:rFonts w:ascii="Century" w:hAnsi="Century"/>
          <w:sz w:val="22"/>
          <w:rtl/>
        </w:rPr>
        <w:t xml:space="preserve">חוק-יסוד: הממשלה (תיקון מס' 11), ס"ח התשפ"ג 4, אשר נכנס לתוקף ביום 27.12.2022 וקבע, בין היתר, כי ההוראה </w:t>
      </w:r>
      <w:r w:rsidRPr="00B56941">
        <w:rPr>
          <w:rtl/>
        </w:rPr>
        <w:t>שבסעיף 6(ג)(1)</w:t>
      </w:r>
      <w:r w:rsidRPr="00040F25">
        <w:rPr>
          <w:rFonts w:ascii="Century" w:hAnsi="Century"/>
          <w:sz w:val="22"/>
          <w:rtl/>
        </w:rPr>
        <w:t xml:space="preserve"> </w:t>
      </w:r>
      <w:r w:rsidRPr="00040F25">
        <w:rPr>
          <w:rFonts w:ascii="Century" w:hAnsi="Century" w:hint="cs"/>
          <w:sz w:val="22"/>
          <w:rtl/>
        </w:rPr>
        <w:t>לחוק-יסוד</w:t>
      </w:r>
      <w:r>
        <w:rPr>
          <w:rFonts w:ascii="Century" w:hAnsi="Century" w:hint="cs"/>
          <w:sz w:val="22"/>
          <w:rtl/>
        </w:rPr>
        <w:t>:</w:t>
      </w:r>
      <w:r w:rsidRPr="00040F25">
        <w:rPr>
          <w:rFonts w:ascii="Century" w:hAnsi="Century" w:hint="cs"/>
          <w:sz w:val="22"/>
          <w:rtl/>
        </w:rPr>
        <w:t xml:space="preserve"> הממשלה, לגבי כשירותם של שרים, תחול רק על מי שנדון לעונש 'מאסר בפועל' (חלף 'מאסר' שבנוסח הקודם), וכי מועד תחולתו של התיקון יהא עם קבלתו בכנסת, עוד בטרם פרסומו ברשומות, כמקובל</w:t>
      </w:r>
      <w:r>
        <w:rPr>
          <w:rtl/>
        </w:rPr>
        <w:t xml:space="preserve">. תיקון זה, על נוסחו הכללי, פנה לכאורה לקבוצה בלתי מסוימת של שרים, בהווה ובעתיד; ועם זאת, סבר חלק </w:t>
      </w:r>
      <w:r>
        <w:rPr>
          <w:rFonts w:hint="cs"/>
          <w:rtl/>
        </w:rPr>
        <w:t xml:space="preserve">משופטי ההרכב, </w:t>
      </w:r>
      <w:r>
        <w:rPr>
          <w:rtl/>
        </w:rPr>
        <w:t xml:space="preserve">כי </w:t>
      </w:r>
      <w:r w:rsidRPr="00040F25">
        <w:rPr>
          <w:rFonts w:ascii="Century" w:hAnsi="Century" w:cs="Miriam"/>
          <w:b/>
          <w:spacing w:val="0"/>
          <w:sz w:val="22"/>
          <w:szCs w:val="24"/>
          <w:rtl/>
        </w:rPr>
        <w:t>"[ה]השפעה [ה]נקודתית, שלא לומר 'כירורגית'"</w:t>
      </w:r>
      <w:r w:rsidRPr="00040F25">
        <w:rPr>
          <w:rFonts w:ascii="Century" w:hAnsi="Century"/>
          <w:rtl/>
        </w:rPr>
        <w:t xml:space="preserve"> של אותו תיקון על עניינו הספציפי של חבר הכנסת אריה דרעי, בשילוב </w:t>
      </w:r>
      <w:r w:rsidRPr="00040F25">
        <w:rPr>
          <w:rFonts w:ascii="Century" w:hAnsi="Century" w:hint="cs"/>
          <w:rtl/>
        </w:rPr>
        <w:t xml:space="preserve">עם </w:t>
      </w:r>
      <w:r w:rsidRPr="00040F25">
        <w:rPr>
          <w:rFonts w:ascii="Century" w:hAnsi="Century"/>
          <w:rtl/>
        </w:rPr>
        <w:t>הוראת התחולה החריגה שלו, אשר ש</w:t>
      </w:r>
      <w:r w:rsidRPr="00040F25">
        <w:rPr>
          <w:rFonts w:ascii="Century" w:hAnsi="Century" w:hint="cs"/>
          <w:rtl/>
        </w:rPr>
        <w:t>ֵ</w:t>
      </w:r>
      <w:r w:rsidRPr="00040F25">
        <w:rPr>
          <w:rFonts w:ascii="Century" w:hAnsi="Century"/>
          <w:rtl/>
        </w:rPr>
        <w:t>רתה את עניינו הקונקרטי של דרעי, ה</w:t>
      </w:r>
      <w:r w:rsidRPr="00040F25">
        <w:rPr>
          <w:rFonts w:ascii="Century" w:hAnsi="Century" w:hint="cs"/>
          <w:rtl/>
        </w:rPr>
        <w:t>ִ</w:t>
      </w:r>
      <w:r w:rsidRPr="00040F25">
        <w:rPr>
          <w:rFonts w:ascii="Century" w:hAnsi="Century"/>
          <w:rtl/>
        </w:rPr>
        <w:t>קנו לתיקון מאפיינים פרסונליים (</w:t>
      </w:r>
      <w:r w:rsidRPr="00040F25">
        <w:rPr>
          <w:rFonts w:ascii="Century" w:hAnsi="Century" w:cs="Miriam"/>
          <w:b/>
          <w:spacing w:val="0"/>
          <w:sz w:val="22"/>
          <w:szCs w:val="24"/>
          <w:rtl/>
        </w:rPr>
        <w:t>שם</w:t>
      </w:r>
      <w:r w:rsidRPr="00040F25">
        <w:rPr>
          <w:rFonts w:ascii="Century" w:hAnsi="Century"/>
          <w:rtl/>
        </w:rPr>
        <w:t xml:space="preserve">, פסקה 49 לפסק דינה של </w:t>
      </w:r>
      <w:r w:rsidRPr="00040F25">
        <w:rPr>
          <w:rFonts w:ascii="Century" w:hAnsi="Century" w:hint="cs"/>
          <w:rtl/>
        </w:rPr>
        <w:t xml:space="preserve">חברתי </w:t>
      </w:r>
      <w:r w:rsidRPr="00040F25">
        <w:rPr>
          <w:rFonts w:ascii="Century" w:hAnsi="Century"/>
          <w:rtl/>
        </w:rPr>
        <w:t xml:space="preserve">השופטת </w:t>
      </w:r>
      <w:r w:rsidRPr="00040F25">
        <w:rPr>
          <w:rFonts w:ascii="Century" w:hAnsi="Century" w:cs="Miriam"/>
          <w:b/>
          <w:spacing w:val="0"/>
          <w:sz w:val="22"/>
          <w:szCs w:val="24"/>
          <w:rtl/>
        </w:rPr>
        <w:t>ברק-ארז</w:t>
      </w:r>
      <w:r w:rsidRPr="00040F25">
        <w:rPr>
          <w:rFonts w:ascii="Century" w:hAnsi="Century"/>
          <w:rtl/>
        </w:rPr>
        <w:t xml:space="preserve">; פסקה 12 </w:t>
      </w:r>
      <w:r w:rsidRPr="00040F25">
        <w:rPr>
          <w:rFonts w:ascii="Century" w:hAnsi="Century"/>
          <w:sz w:val="22"/>
          <w:rtl/>
        </w:rPr>
        <w:t>ל</w:t>
      </w:r>
      <w:r>
        <w:rPr>
          <w:rFonts w:ascii="Century" w:hAnsi="Century" w:hint="cs"/>
          <w:sz w:val="22"/>
          <w:rtl/>
        </w:rPr>
        <w:t>פסק דינו</w:t>
      </w:r>
      <w:r w:rsidRPr="00040F25">
        <w:rPr>
          <w:rFonts w:ascii="Century" w:hAnsi="Century"/>
          <w:rtl/>
        </w:rPr>
        <w:t xml:space="preserve"> של </w:t>
      </w:r>
      <w:r w:rsidRPr="00040F25">
        <w:rPr>
          <w:rFonts w:ascii="Century" w:hAnsi="Century" w:hint="cs"/>
          <w:rtl/>
        </w:rPr>
        <w:t xml:space="preserve">חברי </w:t>
      </w:r>
      <w:r w:rsidRPr="00040F25">
        <w:rPr>
          <w:rFonts w:ascii="Century" w:hAnsi="Century"/>
          <w:rtl/>
        </w:rPr>
        <w:t xml:space="preserve">השופט </w:t>
      </w:r>
      <w:r w:rsidRPr="00040F25">
        <w:rPr>
          <w:rFonts w:ascii="Century" w:hAnsi="Century" w:cs="Miriam"/>
          <w:b/>
          <w:spacing w:val="0"/>
          <w:sz w:val="22"/>
          <w:szCs w:val="24"/>
          <w:rtl/>
        </w:rPr>
        <w:t>י' עמית</w:t>
      </w:r>
      <w:r w:rsidRPr="00040F25">
        <w:rPr>
          <w:rFonts w:ascii="Century" w:hAnsi="Century"/>
          <w:rtl/>
        </w:rPr>
        <w:t>)</w:t>
      </w:r>
      <w:r>
        <w:rPr>
          <w:rFonts w:ascii="Century" w:hAnsi="Century" w:hint="cs"/>
          <w:rtl/>
        </w:rPr>
        <w:t>.</w:t>
      </w:r>
      <w:r w:rsidRPr="00DA5299">
        <w:rPr>
          <w:rFonts w:ascii="Century" w:hAnsi="Century"/>
          <w:rtl/>
        </w:rPr>
        <w:t xml:space="preserve"> </w:t>
      </w:r>
    </w:p>
    <w:p w:rsidR="00C413FD" w:rsidRDefault="00C413FD" w:rsidP="00C413FD">
      <w:pPr>
        <w:pStyle w:val="Ruller4"/>
        <w:numPr>
          <w:ilvl w:val="0"/>
          <w:numId w:val="0"/>
        </w:numPr>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הדוגמאות עד כה, התאפיינו </w:t>
      </w:r>
      <w:r>
        <w:rPr>
          <w:rFonts w:hint="cs"/>
          <w:rtl/>
        </w:rPr>
        <w:t xml:space="preserve">כולן </w:t>
      </w:r>
      <w:r>
        <w:rPr>
          <w:rtl/>
        </w:rPr>
        <w:t>בתווי היכר פרסונליים, הניבטים מתוצר החקיקה עצמו, ומנוסחו. זאת, בין כשמדובר בחוק הפונה לקבוצה סגורה של נמ</w:t>
      </w:r>
      <w:r>
        <w:rPr>
          <w:rFonts w:hint="cs"/>
          <w:rtl/>
        </w:rPr>
        <w:t>ע</w:t>
      </w:r>
      <w:r>
        <w:rPr>
          <w:rtl/>
        </w:rPr>
        <w:t>נים ועל כן אינו</w:t>
      </w:r>
      <w:r>
        <w:rPr>
          <w:rFonts w:hint="cs"/>
          <w:rtl/>
        </w:rPr>
        <w:t xml:space="preserve"> </w:t>
      </w:r>
      <w:r>
        <w:rPr>
          <w:rtl/>
        </w:rPr>
        <w:t xml:space="preserve">כללי במובהק, בין כשמדובר בחוק </w:t>
      </w:r>
      <w:r>
        <w:rPr>
          <w:rFonts w:hint="cs"/>
          <w:rtl/>
        </w:rPr>
        <w:t xml:space="preserve">שנוסחו </w:t>
      </w:r>
      <w:r>
        <w:rPr>
          <w:rtl/>
        </w:rPr>
        <w:t>כללי</w:t>
      </w:r>
      <w:r>
        <w:rPr>
          <w:rFonts w:hint="cs"/>
          <w:rtl/>
        </w:rPr>
        <w:t xml:space="preserve"> </w:t>
      </w:r>
      <w:r>
        <w:rPr>
          <w:rtl/>
        </w:rPr>
        <w:t>על</w:t>
      </w:r>
      <w:r>
        <w:rPr>
          <w:rFonts w:hint="cs"/>
          <w:rtl/>
        </w:rPr>
        <w:t xml:space="preserve"> </w:t>
      </w:r>
      <w:r>
        <w:rPr>
          <w:rtl/>
        </w:rPr>
        <w:t>פניו, אך ההסדר הגלום בו 'מעוצב' באופן בלתי-שגרתי ומחשיד, המשתלב בנתוני רקע, המלמדים כי נוסח החוק, הכללי</w:t>
      </w:r>
      <w:r>
        <w:rPr>
          <w:rFonts w:hint="cs"/>
          <w:rtl/>
        </w:rPr>
        <w:t xml:space="preserve"> </w:t>
      </w:r>
      <w:r>
        <w:rPr>
          <w:rtl/>
        </w:rPr>
        <w:t>לכאורה, נועד לשרת אדם פלוני.</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pPr>
      <w:r>
        <w:rPr>
          <w:rtl/>
        </w:rPr>
        <w:tab/>
        <w:t>'זן' נוסף של חקיקה, בעלת מ</w:t>
      </w:r>
      <w:r>
        <w:rPr>
          <w:rFonts w:hint="cs"/>
          <w:rtl/>
        </w:rPr>
        <w:t>י</w:t>
      </w:r>
      <w:r>
        <w:rPr>
          <w:rtl/>
        </w:rPr>
        <w:t>מד פרסונלי, נמצא אף ה</w:t>
      </w:r>
      <w:r>
        <w:rPr>
          <w:rFonts w:hint="cs"/>
          <w:rtl/>
        </w:rPr>
        <w:t>ו</w:t>
      </w:r>
      <w:r>
        <w:rPr>
          <w:rtl/>
        </w:rPr>
        <w:t>א על המשרעת הדמיונית לא</w:t>
      </w:r>
      <w:r>
        <w:rPr>
          <w:rFonts w:hint="cs"/>
          <w:rtl/>
        </w:rPr>
        <w:t>ו</w:t>
      </w:r>
      <w:r>
        <w:rPr>
          <w:rtl/>
        </w:rPr>
        <w:t xml:space="preserve">רכה אנו צועדים, בקוטב </w:t>
      </w:r>
      <w:r>
        <w:rPr>
          <w:rFonts w:hint="cs"/>
          <w:rtl/>
        </w:rPr>
        <w:t>שמנגד</w:t>
      </w:r>
      <w:r>
        <w:rPr>
          <w:rtl/>
        </w:rPr>
        <w:t>. כאן נמצא הסדרים, שעל</w:t>
      </w:r>
      <w:r>
        <w:rPr>
          <w:rFonts w:hint="cs"/>
          <w:rtl/>
        </w:rPr>
        <w:t>-</w:t>
      </w:r>
      <w:r>
        <w:rPr>
          <w:rtl/>
        </w:rPr>
        <w:t xml:space="preserve">פי נוסחם הם בעלי תחולה כללית, ואף אינם מתאפיינים ב'גבולות גזרה' שקראנו להם 'חשודים'; ועם זאת, ניתן לזהות היבטים פרסונליים מחוץ ללשונם – בכוונת המחוקק שהביאם לעולם. כוונה פרסונלית זו, </w:t>
      </w:r>
      <w:r>
        <w:rPr>
          <w:rFonts w:hint="cs"/>
          <w:rtl/>
        </w:rPr>
        <w:t>א</w:t>
      </w:r>
      <w:r>
        <w:rPr>
          <w:rtl/>
        </w:rPr>
        <w:t xml:space="preserve">דגיש, לא תורגמה להסדר מסויג, </w:t>
      </w:r>
      <w:r w:rsidRPr="00632E1C">
        <w:rPr>
          <w:rtl/>
        </w:rPr>
        <w:t xml:space="preserve">ובעל תחולה </w:t>
      </w:r>
      <w:r w:rsidRPr="00632E1C">
        <w:rPr>
          <w:rFonts w:hint="cs"/>
          <w:rtl/>
        </w:rPr>
        <w:t xml:space="preserve">שאינה </w:t>
      </w:r>
      <w:r w:rsidRPr="00632E1C">
        <w:rPr>
          <w:rtl/>
        </w:rPr>
        <w:t>כללית; היא לא קיבלה ביטוי בנוסח החוק, במישור התוצאה. כאן, במחוזות הכוונה הפרסונלית של המחוקק, ניתן לערוך הבחנה, עליה עמד גם חברי</w:t>
      </w:r>
      <w:r w:rsidRPr="00632E1C">
        <w:rPr>
          <w:rFonts w:hint="cs"/>
          <w:rtl/>
        </w:rPr>
        <w:t>,</w:t>
      </w:r>
      <w:r w:rsidRPr="00632E1C">
        <w:rPr>
          <w:rtl/>
        </w:rPr>
        <w:t xml:space="preserve"> </w:t>
      </w:r>
      <w:r w:rsidRPr="00632E1C">
        <w:rPr>
          <w:rFonts w:hint="cs"/>
          <w:rtl/>
        </w:rPr>
        <w:t xml:space="preserve">מ"מ הנשיא </w:t>
      </w:r>
      <w:r w:rsidRPr="00632E1C">
        <w:rPr>
          <w:rtl/>
        </w:rPr>
        <w:t>(בפסקה 61</w:t>
      </w:r>
      <w:r w:rsidRPr="00632E1C">
        <w:rPr>
          <w:rFonts w:hint="cs"/>
          <w:rtl/>
        </w:rPr>
        <w:t xml:space="preserve">), </w:t>
      </w:r>
      <w:r w:rsidRPr="00632E1C">
        <w:rPr>
          <w:rtl/>
        </w:rPr>
        <w:t xml:space="preserve">בין </w:t>
      </w:r>
      <w:r w:rsidRPr="00632E1C">
        <w:rPr>
          <w:rFonts w:ascii="Century" w:hAnsi="Century" w:cs="Miriam"/>
          <w:b/>
          <w:spacing w:val="0"/>
          <w:sz w:val="22"/>
          <w:szCs w:val="24"/>
          <w:rtl/>
        </w:rPr>
        <w:t>תכלית</w:t>
      </w:r>
      <w:r w:rsidRPr="00632E1C">
        <w:rPr>
          <w:rtl/>
        </w:rPr>
        <w:t xml:space="preserve"> פרסונלית, </w:t>
      </w:r>
      <w:r w:rsidRPr="00632E1C">
        <w:rPr>
          <w:rFonts w:ascii="Century" w:hAnsi="Century"/>
          <w:sz w:val="22"/>
          <w:rtl/>
        </w:rPr>
        <w:t>ל</w:t>
      </w:r>
      <w:r w:rsidRPr="00632E1C">
        <w:rPr>
          <w:rFonts w:ascii="Century" w:hAnsi="Century" w:hint="cs"/>
          <w:sz w:val="22"/>
          <w:rtl/>
        </w:rPr>
        <w:t xml:space="preserve">בין </w:t>
      </w:r>
      <w:r w:rsidRPr="00632E1C">
        <w:rPr>
          <w:rFonts w:ascii="Century" w:hAnsi="Century" w:cs="Miriam"/>
          <w:b/>
          <w:spacing w:val="0"/>
          <w:sz w:val="22"/>
          <w:szCs w:val="24"/>
          <w:rtl/>
        </w:rPr>
        <w:t>מניע</w:t>
      </w:r>
      <w:r w:rsidRPr="00632E1C">
        <w:rPr>
          <w:rtl/>
        </w:rPr>
        <w:t xml:space="preserve"> פרסונלי. בהתאם להבחנה המקובלת, חוק בעל </w:t>
      </w:r>
      <w:r w:rsidRPr="00632E1C">
        <w:rPr>
          <w:rFonts w:ascii="Century" w:hAnsi="Century" w:cs="Miriam"/>
          <w:b/>
          <w:spacing w:val="0"/>
          <w:sz w:val="22"/>
          <w:szCs w:val="24"/>
          <w:rtl/>
        </w:rPr>
        <w:t>תכלית</w:t>
      </w:r>
      <w:r w:rsidRPr="00632E1C">
        <w:rPr>
          <w:rtl/>
        </w:rPr>
        <w:t xml:space="preserve"> פרסונלית הוא כזה שעל אף לשונו הכללית, נועד למעשה, בהתאם לכוונת</w:t>
      </w:r>
      <w:r>
        <w:rPr>
          <w:rtl/>
        </w:rPr>
        <w:t xml:space="preserve"> המחוקק, לשרת פרסונה יחידה (או יותר מכך, אך לכל היותר רשימה סגורה </w:t>
      </w:r>
      <w:r>
        <w:rPr>
          <w:rFonts w:hint="cs"/>
          <w:rtl/>
        </w:rPr>
        <w:t>ה</w:t>
      </w:r>
      <w:r>
        <w:rPr>
          <w:rtl/>
        </w:rPr>
        <w:t xml:space="preserve">ניתנת לזיהוי); לעומתו, חוק בעל </w:t>
      </w:r>
      <w:r>
        <w:rPr>
          <w:rFonts w:ascii="Century" w:hAnsi="Century" w:cs="Miriam"/>
          <w:b/>
          <w:spacing w:val="0"/>
          <w:sz w:val="22"/>
          <w:szCs w:val="24"/>
          <w:rtl/>
        </w:rPr>
        <w:t>מניע</w:t>
      </w:r>
      <w:r>
        <w:rPr>
          <w:rtl/>
        </w:rPr>
        <w:t xml:space="preserve"> פרסונלי</w:t>
      </w:r>
      <w:r>
        <w:rPr>
          <w:rFonts w:hint="cs"/>
          <w:rtl/>
        </w:rPr>
        <w:t>,</w:t>
      </w:r>
      <w:r>
        <w:rPr>
          <w:rtl/>
        </w:rPr>
        <w:t xml:space="preserve"> </w:t>
      </w:r>
      <w:r>
        <w:rPr>
          <w:rFonts w:hint="cs"/>
          <w:rtl/>
        </w:rPr>
        <w:t>נ</w:t>
      </w:r>
      <w:r>
        <w:rPr>
          <w:rtl/>
        </w:rPr>
        <w:t>ו</w:t>
      </w:r>
      <w:r>
        <w:rPr>
          <w:rFonts w:hint="cs"/>
          <w:rtl/>
        </w:rPr>
        <w:t>ּ</w:t>
      </w:r>
      <w:r>
        <w:rPr>
          <w:rtl/>
        </w:rPr>
        <w:t>סח</w:t>
      </w:r>
      <w:r>
        <w:rPr>
          <w:rFonts w:hint="cs"/>
          <w:rtl/>
        </w:rPr>
        <w:t>וֹ</w:t>
      </w:r>
      <w:r>
        <w:rPr>
          <w:rtl/>
        </w:rPr>
        <w:t xml:space="preserve"> כללי, </w:t>
      </w:r>
      <w:r>
        <w:rPr>
          <w:rFonts w:hint="cs"/>
          <w:rtl/>
        </w:rPr>
        <w:t>גם</w:t>
      </w:r>
      <w:r>
        <w:rPr>
          <w:rtl/>
        </w:rPr>
        <w:t xml:space="preserve"> תכלית</w:t>
      </w:r>
      <w:r>
        <w:rPr>
          <w:rFonts w:hint="cs"/>
          <w:rtl/>
        </w:rPr>
        <w:t>וֹ</w:t>
      </w:r>
      <w:r>
        <w:rPr>
          <w:rtl/>
        </w:rPr>
        <w:t xml:space="preserve"> כללית, א</w:t>
      </w:r>
      <w:r>
        <w:rPr>
          <w:rFonts w:hint="cs"/>
          <w:rtl/>
        </w:rPr>
        <w:t>לא</w:t>
      </w:r>
      <w:r>
        <w:rPr>
          <w:rtl/>
        </w:rPr>
        <w:t xml:space="preserve"> שמקורו ב'טריגר' נקודתי</w:t>
      </w:r>
      <w:r>
        <w:rPr>
          <w:rFonts w:hint="cs"/>
          <w:rtl/>
        </w:rPr>
        <w:t>;</w:t>
      </w:r>
      <w:r>
        <w:rPr>
          <w:rtl/>
        </w:rPr>
        <w:t xml:space="preserve"> אירוע או </w:t>
      </w:r>
      <w:r>
        <w:rPr>
          <w:rtl/>
        </w:rPr>
        <w:lastRenderedPageBreak/>
        <w:t>מצב דברים הנוגע לפרסונה פלונית, אשר הביאו את המחוקק להידרש לסוגיה מסוימת, לשבת על המדוכה</w:t>
      </w:r>
      <w:r>
        <w:rPr>
          <w:rFonts w:hint="cs"/>
          <w:rtl/>
        </w:rPr>
        <w:t>,</w:t>
      </w:r>
      <w:r>
        <w:rPr>
          <w:rtl/>
        </w:rPr>
        <w:t xml:space="preserve"> ולהוציא תחת ידו חקיקה אשר נועדה לפתור בעיה כללית</w:t>
      </w:r>
      <w:r>
        <w:rPr>
          <w:rFonts w:hint="cs"/>
          <w:rtl/>
        </w:rPr>
        <w:t>;</w:t>
      </w:r>
      <w:r>
        <w:rPr>
          <w:rtl/>
        </w:rPr>
        <w:t xml:space="preserve"> 'לתקן עולם'. </w:t>
      </w:r>
    </w:p>
    <w:p w:rsidR="00C413FD" w:rsidRPr="004C62A1" w:rsidRDefault="00C413FD" w:rsidP="00C413FD">
      <w:pPr>
        <w:pStyle w:val="Ruller4"/>
        <w:numPr>
          <w:ilvl w:val="0"/>
          <w:numId w:val="0"/>
        </w:numPr>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בהתאם לגישה מושרשת בפסיקה, ודומה כי חברי אינו חולק על כך, כאשר ניתן להתרשם </w:t>
      </w:r>
      <w:r>
        <w:rPr>
          <w:rFonts w:hint="cs"/>
          <w:rtl/>
        </w:rPr>
        <w:t xml:space="preserve">בקיומו של </w:t>
      </w:r>
      <w:r w:rsidRPr="009827F8">
        <w:rPr>
          <w:rFonts w:ascii="Century" w:hAnsi="Century" w:cs="Miriam"/>
          <w:b/>
          <w:spacing w:val="0"/>
          <w:sz w:val="22"/>
          <w:szCs w:val="24"/>
          <w:rtl/>
        </w:rPr>
        <w:t>מניע</w:t>
      </w:r>
      <w:r>
        <w:rPr>
          <w:rtl/>
        </w:rPr>
        <w:t xml:space="preserve"> פרסונלי, אך התוצר החקיקתי אינו חל על קבוצה מסוימת של אנשים, הרי שאין מקום להטיל בחוק דופי של 'פרסונליות': </w:t>
      </w:r>
      <w:r w:rsidRPr="009827F8">
        <w:rPr>
          <w:rFonts w:ascii="Century" w:hAnsi="Century" w:cs="Miriam"/>
          <w:b/>
          <w:spacing w:val="0"/>
          <w:sz w:val="22"/>
          <w:szCs w:val="24"/>
          <w:rtl/>
        </w:rPr>
        <w:t>"חקיקה נועדה, בין היתר, לפתור בעיות שהתרחשו במציאות. היכולת להגיב בצורה דינמית, ולתקן באופן מיידי כשלים שנחשפו, מצויה בארגז הכלים של המחוקק. כל עוד החקיקה מציעה פתרון כללי לבעיה כללית, אין פסול בכך שאירוע ספציפי הוא שהעלה את הבעיה על שולחנו של המחוקק"</w:t>
      </w:r>
      <w:r w:rsidRPr="009827F8">
        <w:rPr>
          <w:rFonts w:ascii="Century" w:hAnsi="Century"/>
          <w:sz w:val="22"/>
          <w:rtl/>
        </w:rPr>
        <w:t xml:space="preserve"> (בג"ץ 2905/20 </w:t>
      </w:r>
      <w:r w:rsidRPr="009827F8">
        <w:rPr>
          <w:rFonts w:ascii="Century" w:hAnsi="Century" w:cs="Miriam"/>
          <w:b/>
          <w:spacing w:val="0"/>
          <w:sz w:val="22"/>
          <w:szCs w:val="24"/>
          <w:rtl/>
        </w:rPr>
        <w:t>התנועה למען איכות השלטון בישראל נ' כנסת ישראל</w:t>
      </w:r>
      <w:r w:rsidRPr="009827F8">
        <w:rPr>
          <w:rFonts w:ascii="Century" w:hAnsi="Century"/>
          <w:sz w:val="22"/>
          <w:rtl/>
        </w:rPr>
        <w:t xml:space="preserve">, פסקה 12 לפסק הדין של המשנה לנשיאה </w:t>
      </w:r>
      <w:r w:rsidRPr="009827F8">
        <w:rPr>
          <w:rFonts w:ascii="Century" w:hAnsi="Century" w:cs="Miriam"/>
          <w:b/>
          <w:spacing w:val="0"/>
          <w:sz w:val="22"/>
          <w:szCs w:val="24"/>
          <w:rtl/>
        </w:rPr>
        <w:t>נ' הנדל</w:t>
      </w:r>
      <w:r w:rsidRPr="009827F8">
        <w:rPr>
          <w:rFonts w:ascii="Century" w:hAnsi="Century"/>
          <w:sz w:val="22"/>
          <w:rtl/>
        </w:rPr>
        <w:t xml:space="preserve"> (12.7.2021); בג"ץ 8260/16 </w:t>
      </w:r>
      <w:r w:rsidRPr="009827F8">
        <w:rPr>
          <w:rFonts w:ascii="Century" w:hAnsi="Century" w:cs="Miriam"/>
          <w:b/>
          <w:spacing w:val="0"/>
          <w:sz w:val="22"/>
          <w:szCs w:val="24"/>
          <w:rtl/>
        </w:rPr>
        <w:t>המרכז האקדמי למשפט ולעסקים נ' כנסת ישראל</w:t>
      </w:r>
      <w:r w:rsidRPr="009827F8">
        <w:rPr>
          <w:rFonts w:ascii="Century" w:hAnsi="Century"/>
          <w:sz w:val="22"/>
          <w:rtl/>
        </w:rPr>
        <w:t xml:space="preserve">, פסקה 6 לפסק הדין של השופט </w:t>
      </w:r>
      <w:r w:rsidRPr="009827F8">
        <w:rPr>
          <w:rFonts w:ascii="Century" w:hAnsi="Century" w:cs="Miriam"/>
          <w:b/>
          <w:spacing w:val="0"/>
          <w:sz w:val="22"/>
          <w:szCs w:val="24"/>
          <w:rtl/>
        </w:rPr>
        <w:t>נ' הנדל</w:t>
      </w:r>
      <w:r w:rsidRPr="009827F8">
        <w:rPr>
          <w:rFonts w:ascii="Century" w:hAnsi="Century"/>
          <w:sz w:val="22"/>
          <w:rtl/>
        </w:rPr>
        <w:t xml:space="preserve"> (6.9.2017)). </w:t>
      </w:r>
      <w:r>
        <w:rPr>
          <w:rtl/>
        </w:rPr>
        <w:t>כאשר פנו בנות צלופחד למשה רבינו בתביע</w:t>
      </w:r>
      <w:r>
        <w:rPr>
          <w:rFonts w:hint="cs"/>
          <w:rtl/>
        </w:rPr>
        <w:t>תן</w:t>
      </w:r>
      <w:r>
        <w:rPr>
          <w:rtl/>
        </w:rPr>
        <w:t xml:space="preserve"> המפורסמת – </w:t>
      </w:r>
      <w:r w:rsidRPr="009827F8">
        <w:rPr>
          <w:rFonts w:ascii="Century" w:hAnsi="Century" w:cs="Miriam"/>
          <w:b/>
          <w:spacing w:val="0"/>
          <w:sz w:val="22"/>
          <w:szCs w:val="24"/>
          <w:rtl/>
        </w:rPr>
        <w:t>"אָבִינוּ מֵת בַּמִּדְבָּר, וְהוּא לֹא הָיָה בְּתוֹךְ הָעֵדָה הַנּוֹעָדִים עַל ה' בַּעֲדַת קֹרַח, כִּי בְחֶטְאוֹ מֵת, וּבָנִים לֹא הָיוּ לוֹ. לָמָּה יִגָּרַע שֵׁם אָבִינוּ מִתּוֹךְ מִשְׁפַּחְתּוֹ, כִּי אֵין לוֹ בֵּן? תְּנָה לָּנוּ אֲחֻזָּה בְּתוֹךְ אֲחֵי אָבִינוּ"</w:t>
      </w:r>
      <w:r>
        <w:rPr>
          <w:rtl/>
        </w:rPr>
        <w:t xml:space="preserve"> (במדבר כז</w:t>
      </w:r>
      <w:r>
        <w:rPr>
          <w:rFonts w:hint="cs"/>
          <w:rtl/>
        </w:rPr>
        <w:t>,</w:t>
      </w:r>
      <w:r>
        <w:rPr>
          <w:rtl/>
        </w:rPr>
        <w:t xml:space="preserve"> ג) – נחקק בעקבות זאת הסדר חדש בדיני ירושה ב</w:t>
      </w:r>
      <w:r>
        <w:rPr>
          <w:rFonts w:hint="cs"/>
          <w:rtl/>
        </w:rPr>
        <w:t>משפט</w:t>
      </w:r>
      <w:r>
        <w:rPr>
          <w:rtl/>
        </w:rPr>
        <w:t xml:space="preserve"> העברי. הסדר זה היה כללי ויציב, והוחל על כל הנשים </w:t>
      </w:r>
      <w:r>
        <w:rPr>
          <w:rFonts w:hint="cs"/>
          <w:rtl/>
        </w:rPr>
        <w:t>שמצבן</w:t>
      </w:r>
      <w:r>
        <w:rPr>
          <w:rtl/>
        </w:rPr>
        <w:t xml:space="preserve"> דומה ל</w:t>
      </w:r>
      <w:r>
        <w:rPr>
          <w:rFonts w:hint="cs"/>
          <w:rtl/>
        </w:rPr>
        <w:t>ז</w:t>
      </w:r>
      <w:r>
        <w:rPr>
          <w:rtl/>
        </w:rPr>
        <w:t>ה של בנות צלופחד. ואולם, הסדר זה, חרף המניע הפרסונלי המובהק שהביא לחקיקתו, כמתואר בתורה, חל גם על בנות צלופחד – בתחולה אישית ומי</w:t>
      </w:r>
      <w:r>
        <w:rPr>
          <w:rFonts w:hint="cs"/>
          <w:rtl/>
        </w:rPr>
        <w:t>י</w:t>
      </w:r>
      <w:r>
        <w:rPr>
          <w:rtl/>
        </w:rPr>
        <w:t>דית:</w:t>
      </w:r>
      <w:r w:rsidRPr="009827F8">
        <w:rPr>
          <w:rFonts w:ascii="Century" w:hAnsi="Century" w:cs="Miriam"/>
          <w:b/>
          <w:spacing w:val="0"/>
          <w:sz w:val="22"/>
          <w:szCs w:val="24"/>
          <w:rtl/>
        </w:rPr>
        <w:t xml:space="preserve"> "כֵּן בְּנוֹת צְלָפְחָד דֹּבְרֹת, נָתֹן תִּתֵּן לָהֶם אֲחֻזַּת נַחֲלָה בְּתוֹךְ אֲחֵי אֲבִיהֶם, וְהַעֲבַרְתָּ אֶת נַחֲלַת אֲבִיהֶן לָהֶן"</w:t>
      </w:r>
      <w:r>
        <w:rPr>
          <w:rtl/>
        </w:rPr>
        <w:t xml:space="preserve"> (שם, ז). התורה </w:t>
      </w:r>
      <w:r>
        <w:rPr>
          <w:rFonts w:hint="cs"/>
          <w:rtl/>
        </w:rPr>
        <w:t xml:space="preserve">ראתה </w:t>
      </w:r>
      <w:r>
        <w:rPr>
          <w:rtl/>
        </w:rPr>
        <w:t xml:space="preserve">אף </w:t>
      </w:r>
      <w:r>
        <w:rPr>
          <w:rFonts w:hint="cs"/>
          <w:rtl/>
        </w:rPr>
        <w:t>ל</w:t>
      </w:r>
      <w:r>
        <w:rPr>
          <w:rtl/>
        </w:rPr>
        <w:t xml:space="preserve">הדגיש את המניע הפרסונלי המובהק שעמד בבסיס ההסדר החקיקתי החדש, </w:t>
      </w:r>
      <w:r>
        <w:rPr>
          <w:rFonts w:hint="cs"/>
          <w:rtl/>
        </w:rPr>
        <w:t>כ</w:t>
      </w:r>
      <w:r>
        <w:rPr>
          <w:rtl/>
        </w:rPr>
        <w:t>שנקבה בשמותיהן של בנות צלופחד בצורה מפורשת</w:t>
      </w:r>
      <w:r>
        <w:rPr>
          <w:rFonts w:hint="cs"/>
          <w:rtl/>
        </w:rPr>
        <w:t xml:space="preserve">: </w:t>
      </w:r>
      <w:r w:rsidRPr="009827F8">
        <w:rPr>
          <w:rFonts w:ascii="Century" w:hAnsi="Century" w:cs="Miriam" w:hint="cs"/>
          <w:b/>
          <w:spacing w:val="0"/>
          <w:sz w:val="22"/>
          <w:szCs w:val="24"/>
          <w:rtl/>
        </w:rPr>
        <w:t>"מַחְלָה נֹעָה וְחָגְלָה וּמִילְכָּה וְתִרְצָה"</w:t>
      </w:r>
      <w:r w:rsidRPr="001F3030">
        <w:rPr>
          <w:rFonts w:hint="cs"/>
          <w:rtl/>
        </w:rPr>
        <w:t xml:space="preserve"> </w:t>
      </w:r>
      <w:r>
        <w:rPr>
          <w:rtl/>
        </w:rPr>
        <w:t xml:space="preserve">(שם, בפסוק א). </w:t>
      </w:r>
      <w:r>
        <w:rPr>
          <w:rFonts w:hint="cs"/>
          <w:rtl/>
        </w:rPr>
        <w:t>ב</w:t>
      </w:r>
      <w:r>
        <w:rPr>
          <w:rtl/>
        </w:rPr>
        <w:t>דומה, גם סיפורן הפרטי של דמויות מקראיות נוספות הביא ליצירת דין חדש, בתחולה מ</w:t>
      </w:r>
      <w:r>
        <w:rPr>
          <w:rFonts w:hint="cs"/>
          <w:rtl/>
        </w:rPr>
        <w:t>י</w:t>
      </w:r>
      <w:r>
        <w:rPr>
          <w:rtl/>
        </w:rPr>
        <w:t>ידית</w:t>
      </w:r>
      <w:r>
        <w:rPr>
          <w:rFonts w:hint="cs"/>
          <w:rtl/>
        </w:rPr>
        <w:t>;</w:t>
      </w:r>
      <w:r>
        <w:rPr>
          <w:rtl/>
        </w:rPr>
        <w:t xml:space="preserve"> כך היה דינו </w:t>
      </w:r>
      <w:r>
        <w:rPr>
          <w:rFonts w:hint="cs"/>
          <w:rtl/>
        </w:rPr>
        <w:t xml:space="preserve">של </w:t>
      </w:r>
      <w:r>
        <w:rPr>
          <w:rtl/>
        </w:rPr>
        <w:t xml:space="preserve">מקושש העצים ביום השבת (במדבר טו, לב-לו), וכך היה גם דינו של המקלל (ויקרא כד, א-כג). הא למדנו, כי אין במניע פרסונלי, כשלעצמו, כדי להכתים את החקיקה בפרסונליות, ואף </w:t>
      </w:r>
      <w:r>
        <w:rPr>
          <w:rFonts w:hint="cs"/>
          <w:rtl/>
        </w:rPr>
        <w:t>אין</w:t>
      </w:r>
      <w:r>
        <w:rPr>
          <w:rtl/>
        </w:rPr>
        <w:t xml:space="preserve"> די במניע זה כדי להוביל לדחיית תחולת החקיקה.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ab/>
      </w:r>
      <w:r>
        <w:rPr>
          <w:rFonts w:ascii="Century" w:hAnsi="Century" w:cs="Miriam"/>
          <w:b/>
          <w:spacing w:val="0"/>
          <w:sz w:val="22"/>
          <w:szCs w:val="24"/>
          <w:rtl/>
        </w:rPr>
        <w:t>מניע</w:t>
      </w:r>
      <w:r>
        <w:rPr>
          <w:rtl/>
        </w:rPr>
        <w:t xml:space="preserve"> פרסונלי, אם כן, אינו מטיל בדבר חקיקה 'מום' של חוק פרסונלי; ומה באשר </w:t>
      </w:r>
      <w:r>
        <w:rPr>
          <w:rFonts w:ascii="Century" w:hAnsi="Century" w:cs="Miriam"/>
          <w:b/>
          <w:spacing w:val="0"/>
          <w:sz w:val="22"/>
          <w:szCs w:val="24"/>
          <w:rtl/>
        </w:rPr>
        <w:t>לתכלית</w:t>
      </w:r>
      <w:r>
        <w:rPr>
          <w:rtl/>
        </w:rPr>
        <w:t xml:space="preserve"> פרסונלית?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sidRPr="00632E1C">
        <w:rPr>
          <w:rtl/>
        </w:rPr>
        <w:t>חברי</w:t>
      </w:r>
      <w:r w:rsidRPr="00632E1C">
        <w:rPr>
          <w:rFonts w:hint="cs"/>
          <w:rtl/>
        </w:rPr>
        <w:t>,</w:t>
      </w:r>
      <w:r w:rsidRPr="00632E1C">
        <w:rPr>
          <w:rtl/>
        </w:rPr>
        <w:t xml:space="preserve"> מ"מ הנשיא</w:t>
      </w:r>
      <w:r w:rsidRPr="00632E1C">
        <w:rPr>
          <w:rFonts w:hint="cs"/>
          <w:rtl/>
        </w:rPr>
        <w:t>,</w:t>
      </w:r>
      <w:r w:rsidRPr="00632E1C">
        <w:rPr>
          <w:rtl/>
        </w:rPr>
        <w:t xml:space="preserve"> סבור כי חוק בעל </w:t>
      </w:r>
      <w:r w:rsidRPr="00632E1C">
        <w:rPr>
          <w:rFonts w:ascii="Century" w:hAnsi="Century" w:cs="Miriam"/>
          <w:b/>
          <w:spacing w:val="0"/>
          <w:sz w:val="22"/>
          <w:szCs w:val="24"/>
          <w:rtl/>
        </w:rPr>
        <w:t>תכלית</w:t>
      </w:r>
      <w:r w:rsidRPr="00632E1C">
        <w:rPr>
          <w:rtl/>
        </w:rPr>
        <w:t xml:space="preserve"> פרסונלית, עולה כדי חקיקה פרסונלית פסולה. בענייננו, קובע חברי בחוות דעתו</w:t>
      </w:r>
      <w:r w:rsidRPr="00632E1C">
        <w:rPr>
          <w:rFonts w:hint="cs"/>
          <w:rtl/>
        </w:rPr>
        <w:t>,</w:t>
      </w:r>
      <w:r w:rsidRPr="00632E1C">
        <w:rPr>
          <w:rtl/>
        </w:rPr>
        <w:t xml:space="preserve"> כי </w:t>
      </w:r>
      <w:r w:rsidRPr="00632E1C">
        <w:rPr>
          <w:rFonts w:ascii="Century" w:hAnsi="Century" w:cs="Miriam"/>
          <w:b/>
          <w:spacing w:val="0"/>
          <w:sz w:val="22"/>
          <w:szCs w:val="24"/>
          <w:rtl/>
        </w:rPr>
        <w:t>"</w:t>
      </w:r>
      <w:r w:rsidRPr="00632E1C">
        <w:rPr>
          <w:rFonts w:ascii="Century" w:hAnsi="Century" w:cs="Miriam"/>
          <w:b/>
          <w:spacing w:val="0"/>
          <w:sz w:val="22"/>
          <w:szCs w:val="24"/>
          <w:u w:val="single"/>
          <w:rtl/>
        </w:rPr>
        <w:t>תכליתו</w:t>
      </w:r>
      <w:r w:rsidRPr="00632E1C">
        <w:rPr>
          <w:rFonts w:ascii="Century" w:hAnsi="Century" w:cs="Miriam"/>
          <w:b/>
          <w:spacing w:val="0"/>
          <w:sz w:val="22"/>
          <w:szCs w:val="24"/>
          <w:rtl/>
        </w:rPr>
        <w:t xml:space="preserve"> הפרסונלית של התיקון עולה באופן ברור ומובהק מהליך החקיקה"</w:t>
      </w:r>
      <w:r w:rsidRPr="00632E1C">
        <w:rPr>
          <w:rtl/>
        </w:rPr>
        <w:t xml:space="preserve"> (פסקה 61). חברתי</w:t>
      </w:r>
      <w:r w:rsidRPr="00632E1C">
        <w:rPr>
          <w:rFonts w:hint="cs"/>
          <w:rtl/>
        </w:rPr>
        <w:t>,</w:t>
      </w:r>
      <w:r w:rsidRPr="00632E1C">
        <w:rPr>
          <w:rtl/>
        </w:rPr>
        <w:t xml:space="preserve"> הנשיאה </w:t>
      </w:r>
      <w:r w:rsidRPr="00632E1C">
        <w:rPr>
          <w:rFonts w:hint="cs"/>
          <w:rtl/>
        </w:rPr>
        <w:t>(בדימ')</w:t>
      </w:r>
      <w:r>
        <w:rPr>
          <w:rFonts w:hint="cs"/>
          <w:rtl/>
        </w:rPr>
        <w:t xml:space="preserve"> </w:t>
      </w:r>
      <w:r w:rsidRPr="003C5C71">
        <w:rPr>
          <w:rFonts w:ascii="Century" w:hAnsi="Century" w:cs="Miriam" w:hint="cs"/>
          <w:b/>
          <w:spacing w:val="0"/>
          <w:sz w:val="22"/>
          <w:szCs w:val="24"/>
          <w:rtl/>
        </w:rPr>
        <w:t>א' חיות</w:t>
      </w:r>
      <w:r w:rsidRPr="00632E1C">
        <w:rPr>
          <w:rFonts w:hint="cs"/>
          <w:rtl/>
        </w:rPr>
        <w:t xml:space="preserve">, </w:t>
      </w:r>
      <w:r w:rsidRPr="00632E1C">
        <w:rPr>
          <w:rtl/>
        </w:rPr>
        <w:t>ציינה אף היא</w:t>
      </w:r>
      <w:r w:rsidRPr="00632E1C">
        <w:rPr>
          <w:rFonts w:hint="cs"/>
          <w:rtl/>
        </w:rPr>
        <w:t>,</w:t>
      </w:r>
      <w:r w:rsidRPr="00632E1C">
        <w:rPr>
          <w:rtl/>
        </w:rPr>
        <w:t xml:space="preserve"> כי התכלית</w:t>
      </w:r>
      <w:r>
        <w:rPr>
          <w:rtl/>
        </w:rPr>
        <w:t xml:space="preserve"> הפרסונלית </w:t>
      </w:r>
      <w:r>
        <w:rPr>
          <w:rFonts w:ascii="Century" w:hAnsi="Century" w:cs="Miriam"/>
          <w:b/>
          <w:spacing w:val="0"/>
          <w:sz w:val="22"/>
          <w:szCs w:val="24"/>
          <w:rtl/>
        </w:rPr>
        <w:t>"משתקפת בבירור מן הדיונים בכנסת"</w:t>
      </w:r>
      <w:r w:rsidRPr="001F3030">
        <w:rPr>
          <w:rFonts w:ascii="Century" w:hAnsi="Century"/>
          <w:sz w:val="22"/>
          <w:rtl/>
        </w:rPr>
        <w:t xml:space="preserve">, וכי מדיונים </w:t>
      </w:r>
      <w:r w:rsidRPr="001F3030">
        <w:rPr>
          <w:rFonts w:ascii="Century" w:hAnsi="Century"/>
          <w:sz w:val="22"/>
          <w:rtl/>
        </w:rPr>
        <w:lastRenderedPageBreak/>
        <w:t>אלה עולה כי</w:t>
      </w:r>
      <w:r>
        <w:rPr>
          <w:rFonts w:ascii="Century" w:hAnsi="Century" w:cs="Miriam"/>
          <w:b/>
          <w:spacing w:val="0"/>
          <w:sz w:val="22"/>
          <w:szCs w:val="24"/>
          <w:rtl/>
        </w:rPr>
        <w:t xml:space="preserve"> "אין מדובר אך במניע ('הטריגר')"</w:t>
      </w:r>
      <w:r>
        <w:rPr>
          <w:rtl/>
        </w:rPr>
        <w:t xml:space="preserve"> (פסקה 1)</w:t>
      </w:r>
      <w:r>
        <w:rPr>
          <w:rFonts w:hint="cs"/>
          <w:rtl/>
        </w:rPr>
        <w:t>;</w:t>
      </w:r>
      <w:r>
        <w:rPr>
          <w:rtl/>
        </w:rPr>
        <w:t xml:space="preserve"> חברי</w:t>
      </w:r>
      <w:r>
        <w:rPr>
          <w:rFonts w:hint="cs"/>
          <w:rtl/>
        </w:rPr>
        <w:t>,</w:t>
      </w:r>
      <w:r>
        <w:rPr>
          <w:rtl/>
        </w:rPr>
        <w:t xml:space="preserve"> השופט </w:t>
      </w:r>
      <w:r>
        <w:rPr>
          <w:rFonts w:ascii="Century" w:hAnsi="Century" w:cs="Miriam"/>
          <w:b/>
          <w:spacing w:val="0"/>
          <w:sz w:val="22"/>
          <w:szCs w:val="24"/>
          <w:rtl/>
        </w:rPr>
        <w:t>עמית</w:t>
      </w:r>
      <w:r>
        <w:rPr>
          <w:rFonts w:hint="cs"/>
          <w:rtl/>
        </w:rPr>
        <w:t>,</w:t>
      </w:r>
      <w:r>
        <w:rPr>
          <w:rtl/>
        </w:rPr>
        <w:t xml:space="preserve"> הסיק מסקנה דומה </w:t>
      </w:r>
      <w:r>
        <w:rPr>
          <w:rFonts w:ascii="Century" w:hAnsi="Century" w:cs="Miriam"/>
          <w:b/>
          <w:spacing w:val="0"/>
          <w:sz w:val="22"/>
          <w:szCs w:val="24"/>
          <w:rtl/>
        </w:rPr>
        <w:t>"מדברים שנאמרו על ידי חברי הכנסת במהלך הדיון בהצעת החוק"</w:t>
      </w:r>
      <w:r>
        <w:rPr>
          <w:rFonts w:ascii="Century" w:hAnsi="Century"/>
          <w:sz w:val="22"/>
          <w:rtl/>
        </w:rPr>
        <w:t xml:space="preserve"> (פסקה 3)</w:t>
      </w:r>
      <w:r>
        <w:rPr>
          <w:rtl/>
        </w:rPr>
        <w:t>. מדברי חברַי, עולות שתי מסקנות: ראשית, כי ההבחנה בין חוק שנחקק מ</w:t>
      </w:r>
      <w:r w:rsidRPr="00E3072B">
        <w:rPr>
          <w:rFonts w:ascii="Century" w:hAnsi="Century" w:cs="Miriam"/>
          <w:b/>
          <w:spacing w:val="0"/>
          <w:sz w:val="22"/>
          <w:szCs w:val="24"/>
          <w:rtl/>
        </w:rPr>
        <w:t>מניע</w:t>
      </w:r>
      <w:r>
        <w:rPr>
          <w:rtl/>
        </w:rPr>
        <w:t xml:space="preserve"> פרסונלי, לבין חוק בעל </w:t>
      </w:r>
      <w:r w:rsidRPr="00E3072B">
        <w:rPr>
          <w:rFonts w:ascii="Century" w:hAnsi="Century" w:cs="Miriam"/>
          <w:b/>
          <w:spacing w:val="0"/>
          <w:sz w:val="22"/>
          <w:szCs w:val="24"/>
          <w:rtl/>
        </w:rPr>
        <w:t>תכלית</w:t>
      </w:r>
      <w:r>
        <w:rPr>
          <w:rtl/>
        </w:rPr>
        <w:t xml:space="preserve"> פרסונלית, היא אפשרית; שנית, כי תיקון 53 הוא בעל </w:t>
      </w:r>
      <w:r w:rsidRPr="00E3072B">
        <w:rPr>
          <w:rFonts w:ascii="Century" w:hAnsi="Century" w:cs="Miriam"/>
          <w:b/>
          <w:spacing w:val="0"/>
          <w:sz w:val="22"/>
          <w:szCs w:val="24"/>
          <w:rtl/>
        </w:rPr>
        <w:t>תכלית</w:t>
      </w:r>
      <w:r>
        <w:rPr>
          <w:rtl/>
        </w:rPr>
        <w:t xml:space="preserve"> פרסונלית. דעתי</w:t>
      </w:r>
      <w:r>
        <w:rPr>
          <w:rFonts w:hint="cs"/>
          <w:rtl/>
        </w:rPr>
        <w:t>-שלי</w:t>
      </w:r>
      <w:r>
        <w:rPr>
          <w:rtl/>
        </w:rPr>
        <w:t xml:space="preserve"> שונה, ואני מתקשה לקבל את שתי המסקנות גם יחד.</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במישור העיוני, ההבחנה בין </w:t>
      </w:r>
      <w:r>
        <w:rPr>
          <w:rFonts w:ascii="Century" w:hAnsi="Century" w:cs="Miriam"/>
          <w:b/>
          <w:spacing w:val="0"/>
          <w:sz w:val="22"/>
          <w:szCs w:val="24"/>
          <w:rtl/>
        </w:rPr>
        <w:t>מניע</w:t>
      </w:r>
      <w:r>
        <w:rPr>
          <w:rtl/>
        </w:rPr>
        <w:t xml:space="preserve"> ל</w:t>
      </w:r>
      <w:r>
        <w:rPr>
          <w:rFonts w:hint="cs"/>
          <w:rtl/>
        </w:rPr>
        <w:t>בין</w:t>
      </w:r>
      <w:r>
        <w:rPr>
          <w:rFonts w:ascii="Century" w:hAnsi="Century" w:cs="Miriam" w:hint="cs"/>
          <w:b/>
          <w:spacing w:val="0"/>
          <w:sz w:val="22"/>
          <w:szCs w:val="24"/>
          <w:rtl/>
        </w:rPr>
        <w:t xml:space="preserve"> </w:t>
      </w:r>
      <w:r>
        <w:rPr>
          <w:rFonts w:ascii="Century" w:hAnsi="Century" w:cs="Miriam"/>
          <w:b/>
          <w:spacing w:val="0"/>
          <w:sz w:val="22"/>
          <w:szCs w:val="24"/>
          <w:rtl/>
        </w:rPr>
        <w:t>תכלית</w:t>
      </w:r>
      <w:r>
        <w:rPr>
          <w:rtl/>
        </w:rPr>
        <w:t xml:space="preserve"> אכן שרירה וקיימת. כפי שחידדה הכנסת בתשובתה, ה</w:t>
      </w:r>
      <w:r w:rsidRPr="00E3072B">
        <w:rPr>
          <w:rFonts w:ascii="Century" w:hAnsi="Century" w:cs="Miriam"/>
          <w:b/>
          <w:spacing w:val="0"/>
          <w:sz w:val="22"/>
          <w:szCs w:val="24"/>
          <w:rtl/>
        </w:rPr>
        <w:t>מניע</w:t>
      </w:r>
      <w:r>
        <w:rPr>
          <w:rtl/>
        </w:rPr>
        <w:t xml:space="preserve"> מקומו בעבר, והוא מספק את הרקע להולדת החוק, במישורים הפסיכולוגיים והסוציולוגיים</w:t>
      </w:r>
      <w:r>
        <w:rPr>
          <w:rFonts w:hint="cs"/>
          <w:rtl/>
        </w:rPr>
        <w:t>, הלכי-הרוח</w:t>
      </w:r>
      <w:r>
        <w:rPr>
          <w:rtl/>
        </w:rPr>
        <w:t xml:space="preserve"> של המחוקק; </w:t>
      </w:r>
      <w:r w:rsidRPr="00E3072B">
        <w:rPr>
          <w:rFonts w:ascii="Century" w:hAnsi="Century" w:cs="Miriam"/>
          <w:b/>
          <w:spacing w:val="0"/>
          <w:sz w:val="22"/>
          <w:szCs w:val="24"/>
          <w:rtl/>
        </w:rPr>
        <w:t>תכלית</w:t>
      </w:r>
      <w:r>
        <w:rPr>
          <w:rtl/>
        </w:rPr>
        <w:t>, לעומת זאת, היא מושג הלקוח מעולם המשפט,</w:t>
      </w:r>
      <w:r>
        <w:rPr>
          <w:rFonts w:hint="cs"/>
          <w:rtl/>
        </w:rPr>
        <w:t xml:space="preserve"> צופה פני </w:t>
      </w:r>
      <w:r>
        <w:rPr>
          <w:rtl/>
        </w:rPr>
        <w:t>עתיד, והיא משקפת את המטרות, הערכים והמדיניות שדבר החקיקה נועד להגשים. ואולם</w:t>
      </w:r>
      <w:r>
        <w:rPr>
          <w:rFonts w:hint="cs"/>
          <w:rtl/>
        </w:rPr>
        <w:t>,</w:t>
      </w:r>
      <w:r>
        <w:rPr>
          <w:rtl/>
        </w:rPr>
        <w:t xml:space="preserve"> חרף הבהירות העיונית, סבורני כי </w:t>
      </w:r>
      <w:r>
        <w:rPr>
          <w:rFonts w:ascii="Century" w:hAnsi="Century" w:cs="Miriam"/>
          <w:b/>
          <w:spacing w:val="0"/>
          <w:sz w:val="22"/>
          <w:szCs w:val="24"/>
          <w:rtl/>
        </w:rPr>
        <w:t>בעולם המעשה</w:t>
      </w:r>
      <w:r>
        <w:rPr>
          <w:rtl/>
        </w:rPr>
        <w:t xml:space="preserve">, יכולתנו להבחין בין דבר חקיקה בעל </w:t>
      </w:r>
      <w:r w:rsidRPr="00E3072B">
        <w:rPr>
          <w:rFonts w:ascii="Century" w:hAnsi="Century" w:cs="Miriam"/>
          <w:b/>
          <w:spacing w:val="0"/>
          <w:sz w:val="22"/>
          <w:szCs w:val="24"/>
          <w:rtl/>
        </w:rPr>
        <w:t>מניע</w:t>
      </w:r>
      <w:r>
        <w:rPr>
          <w:rtl/>
        </w:rPr>
        <w:t xml:space="preserve"> פרסונלי לדבר חקיקה הלוקה ב</w:t>
      </w:r>
      <w:r w:rsidRPr="00E3072B">
        <w:rPr>
          <w:rFonts w:ascii="Century" w:hAnsi="Century" w:cs="Miriam"/>
          <w:b/>
          <w:spacing w:val="0"/>
          <w:sz w:val="22"/>
          <w:szCs w:val="24"/>
          <w:rtl/>
        </w:rPr>
        <w:t>תכלית</w:t>
      </w:r>
      <w:r>
        <w:rPr>
          <w:rtl/>
        </w:rPr>
        <w:t xml:space="preserve"> פרסונלית, קשה כקריעת ים-סוף</w:t>
      </w:r>
      <w:r>
        <w:rPr>
          <w:rFonts w:hint="cs"/>
          <w:rtl/>
        </w:rPr>
        <w:t>;</w:t>
      </w:r>
      <w:r>
        <w:rPr>
          <w:rtl/>
        </w:rPr>
        <w:t xml:space="preserve"> ספק אם היא בת-השגה.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המקור העיקרי ממנו ניתן להסיק על קיומו של מניע פרסונלי, או </w:t>
      </w:r>
      <w:r>
        <w:rPr>
          <w:rFonts w:hint="cs"/>
          <w:rtl/>
        </w:rPr>
        <w:t xml:space="preserve">על </w:t>
      </w:r>
      <w:r>
        <w:rPr>
          <w:rtl/>
        </w:rPr>
        <w:t>קיומה של תכלית פרסונלית, הוא הליך החקיקה עצמו, כפי שאף ניתן ללמוד מניתוחו של חברי</w:t>
      </w:r>
      <w:r>
        <w:rPr>
          <w:rFonts w:hint="cs"/>
          <w:rtl/>
        </w:rPr>
        <w:t xml:space="preserve">, </w:t>
      </w:r>
      <w:r>
        <w:rPr>
          <w:rtl/>
        </w:rPr>
        <w:t>מ"מ הנשיא</w:t>
      </w:r>
      <w:r>
        <w:rPr>
          <w:rFonts w:hint="cs"/>
          <w:rtl/>
        </w:rPr>
        <w:t>.</w:t>
      </w:r>
      <w:r>
        <w:rPr>
          <w:rtl/>
        </w:rPr>
        <w:t xml:space="preserve"> בנאומים במליאת הכנסת, בדברי ההסבר לחוק, בדברים הנאמרים </w:t>
      </w:r>
      <w:r>
        <w:rPr>
          <w:rFonts w:hint="cs"/>
          <w:rtl/>
        </w:rPr>
        <w:t>בדיוני</w:t>
      </w:r>
      <w:r>
        <w:rPr>
          <w:rtl/>
        </w:rPr>
        <w:t xml:space="preserve"> ועדות הכנסת לקראת ההצבעות במליאה – בכל אלו, בא הנחתום ומעיד על עיסתו. דא עקא, היכולת ליטול היגד של המחוקק, בעל אופי שאינו עקרוני-כללי, ולהסיק ממנו אם לפנינו </w:t>
      </w:r>
      <w:r>
        <w:rPr>
          <w:rFonts w:ascii="Century" w:hAnsi="Century" w:cs="Miriam"/>
          <w:b/>
          <w:spacing w:val="0"/>
          <w:sz w:val="22"/>
          <w:szCs w:val="24"/>
          <w:rtl/>
        </w:rPr>
        <w:t>מניע</w:t>
      </w:r>
      <w:r>
        <w:rPr>
          <w:rtl/>
        </w:rPr>
        <w:t xml:space="preserve"> פרסונלי או שמא </w:t>
      </w:r>
      <w:r>
        <w:rPr>
          <w:rFonts w:ascii="Century" w:hAnsi="Century" w:cs="Miriam"/>
          <w:b/>
          <w:spacing w:val="0"/>
          <w:sz w:val="22"/>
          <w:szCs w:val="24"/>
          <w:rtl/>
        </w:rPr>
        <w:t>תכלית</w:t>
      </w:r>
      <w:r>
        <w:rPr>
          <w:rtl/>
        </w:rPr>
        <w:t xml:space="preserve"> פרסונלית, היא קשה ביותר. לא מצאתי בדברי חברי</w:t>
      </w:r>
      <w:r>
        <w:rPr>
          <w:rFonts w:hint="cs"/>
          <w:rtl/>
        </w:rPr>
        <w:t xml:space="preserve">, </w:t>
      </w:r>
      <w:r>
        <w:rPr>
          <w:rtl/>
        </w:rPr>
        <w:t>מ"מ הנשיא,</w:t>
      </w:r>
      <w:r>
        <w:rPr>
          <w:rFonts w:hint="cs"/>
          <w:rtl/>
        </w:rPr>
        <w:t xml:space="preserve"> </w:t>
      </w:r>
      <w:r>
        <w:rPr>
          <w:rtl/>
        </w:rPr>
        <w:t>התמודדות של ממש עם קושי זה, לא כל שכן הצעה מתודולוגית להבח</w:t>
      </w:r>
      <w:r>
        <w:rPr>
          <w:rFonts w:hint="cs"/>
          <w:rtl/>
        </w:rPr>
        <w:t xml:space="preserve">נה </w:t>
      </w:r>
      <w:r>
        <w:rPr>
          <w:rtl/>
        </w:rPr>
        <w:t>בין זה לז</w:t>
      </w:r>
      <w:r>
        <w:rPr>
          <w:rFonts w:hint="cs"/>
          <w:rtl/>
        </w:rPr>
        <w:t>ו</w:t>
      </w:r>
      <w:r>
        <w:rPr>
          <w:rtl/>
        </w:rPr>
        <w:t>. אף חברי מציין</w:t>
      </w:r>
      <w:r>
        <w:rPr>
          <w:rFonts w:hint="cs"/>
          <w:rtl/>
        </w:rPr>
        <w:t>,</w:t>
      </w:r>
      <w:r>
        <w:rPr>
          <w:rtl/>
        </w:rPr>
        <w:t xml:space="preserve"> כי </w:t>
      </w:r>
      <w:r>
        <w:rPr>
          <w:rFonts w:ascii="Century" w:hAnsi="Century" w:cs="Miriam"/>
          <w:b/>
          <w:spacing w:val="0"/>
          <w:sz w:val="22"/>
          <w:szCs w:val="24"/>
          <w:rtl/>
        </w:rPr>
        <w:t>"הבחנה זו בין מניע פרסונלי לבין תכלית פרסונלית אינה תמיד ברורה וחדה ואף אינה שגורה"</w:t>
      </w:r>
      <w:r>
        <w:rPr>
          <w:rtl/>
        </w:rPr>
        <w:t xml:space="preserve"> (פסקה 61). דומה כי לא בכדי, מלומדים שנדרשו לסוגיה זו של חקיקה פרסונלית, לאחר שעמדו על הקושי בהגדרתה, צמצמו את תלמודם לנורמות אשר </w:t>
      </w:r>
      <w:r>
        <w:rPr>
          <w:rFonts w:ascii="Century" w:hAnsi="Century" w:cs="Miriam"/>
          <w:b/>
          <w:spacing w:val="0"/>
          <w:sz w:val="22"/>
          <w:szCs w:val="24"/>
          <w:rtl/>
        </w:rPr>
        <w:t>"תיבחנה על פי מבחן משולב של כוונה ותוצאה: כוונתן של נורמות אלה לחול על גורמים מסוימים, וזו אף התוצאה שלהן"</w:t>
      </w:r>
      <w:r>
        <w:rPr>
          <w:rtl/>
        </w:rPr>
        <w:t xml:space="preserve"> (</w:t>
      </w:r>
      <w:r>
        <w:rPr>
          <w:rFonts w:ascii="Century" w:hAnsi="Century" w:cs="Miriam"/>
          <w:b/>
          <w:spacing w:val="0"/>
          <w:sz w:val="22"/>
          <w:szCs w:val="24"/>
          <w:rtl/>
        </w:rPr>
        <w:t>טמיר, חקיקה פרסונאלית</w:t>
      </w:r>
      <w:r>
        <w:rPr>
          <w:rtl/>
        </w:rPr>
        <w:t>, 182). 'התוצאה' – תחולתו המעשית של ההסדר שנקבע בחוק – היא העוגן האובייקטיבי, המבטיח שלא ניסחף בזרם אי-הוודאות, המאפיין את 'הכוונה' הפרסונלית של המחוקק, הניתנת להידרש לשתי פנים: כ</w:t>
      </w:r>
      <w:r w:rsidRPr="003C5C71">
        <w:rPr>
          <w:rFonts w:ascii="Century" w:hAnsi="Century" w:cs="Miriam"/>
          <w:b/>
          <w:spacing w:val="0"/>
          <w:sz w:val="22"/>
          <w:szCs w:val="24"/>
          <w:rtl/>
        </w:rPr>
        <w:t>מניע</w:t>
      </w:r>
      <w:r>
        <w:rPr>
          <w:rtl/>
        </w:rPr>
        <w:t xml:space="preserve"> לגיטימי, או כ</w:t>
      </w:r>
      <w:r w:rsidRPr="003C5C71">
        <w:rPr>
          <w:rFonts w:ascii="Century" w:hAnsi="Century" w:cs="Miriam"/>
          <w:b/>
          <w:spacing w:val="0"/>
          <w:sz w:val="22"/>
          <w:szCs w:val="24"/>
          <w:rtl/>
        </w:rPr>
        <w:t>תכלית</w:t>
      </w:r>
      <w:r>
        <w:rPr>
          <w:rtl/>
        </w:rPr>
        <w:t xml:space="preserve"> פסולה.</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סבורני, כי ה</w:t>
      </w:r>
      <w:r>
        <w:rPr>
          <w:rFonts w:hint="cs"/>
          <w:rtl/>
        </w:rPr>
        <w:t xml:space="preserve">עניין </w:t>
      </w:r>
      <w:r>
        <w:rPr>
          <w:rtl/>
        </w:rPr>
        <w:t xml:space="preserve">שלפנינו, שהוכתר על ידי </w:t>
      </w:r>
      <w:r>
        <w:rPr>
          <w:rFonts w:hint="cs"/>
          <w:rtl/>
        </w:rPr>
        <w:t xml:space="preserve">מרבית </w:t>
      </w:r>
      <w:r>
        <w:rPr>
          <w:rtl/>
        </w:rPr>
        <w:t>חברַי כדוגמ</w:t>
      </w:r>
      <w:r>
        <w:rPr>
          <w:rFonts w:hint="cs"/>
          <w:rtl/>
        </w:rPr>
        <w:t>ה</w:t>
      </w:r>
      <w:r>
        <w:rPr>
          <w:rtl/>
        </w:rPr>
        <w:t xml:space="preserve"> מובהקת לחקיקה בעלת תכלית פרסונלית, </w:t>
      </w:r>
      <w:r>
        <w:rPr>
          <w:rFonts w:hint="cs"/>
          <w:rtl/>
        </w:rPr>
        <w:t xml:space="preserve">מספק </w:t>
      </w:r>
      <w:r>
        <w:rPr>
          <w:rtl/>
        </w:rPr>
        <w:t xml:space="preserve">דווקא </w:t>
      </w:r>
      <w:r>
        <w:rPr>
          <w:rFonts w:hint="cs"/>
          <w:rtl/>
        </w:rPr>
        <w:t>דו</w:t>
      </w:r>
      <w:r>
        <w:rPr>
          <w:rtl/>
        </w:rPr>
        <w:t>גמ</w:t>
      </w:r>
      <w:r>
        <w:rPr>
          <w:rFonts w:hint="cs"/>
          <w:rtl/>
        </w:rPr>
        <w:t>ה</w:t>
      </w:r>
      <w:r>
        <w:rPr>
          <w:rtl/>
        </w:rPr>
        <w:t xml:space="preserve"> לאי-הבהירות שבהבחנה המוצעת, שבין </w:t>
      </w:r>
      <w:r w:rsidRPr="00D55995">
        <w:rPr>
          <w:rFonts w:ascii="Century" w:hAnsi="Century" w:cs="Miriam"/>
          <w:b/>
          <w:spacing w:val="0"/>
          <w:sz w:val="22"/>
          <w:szCs w:val="24"/>
          <w:rtl/>
        </w:rPr>
        <w:t>מניע</w:t>
      </w:r>
      <w:r>
        <w:rPr>
          <w:rtl/>
        </w:rPr>
        <w:t xml:space="preserve"> ל</w:t>
      </w:r>
      <w:r w:rsidRPr="00D55995">
        <w:rPr>
          <w:rFonts w:ascii="Century" w:hAnsi="Century" w:cs="Miriam"/>
          <w:b/>
          <w:spacing w:val="0"/>
          <w:sz w:val="22"/>
          <w:szCs w:val="24"/>
          <w:rtl/>
        </w:rPr>
        <w:t>תכלית</w:t>
      </w:r>
      <w:r>
        <w:rPr>
          <w:rtl/>
        </w:rPr>
        <w:t xml:space="preserve">. </w:t>
      </w:r>
      <w:r>
        <w:rPr>
          <w:rFonts w:hint="cs"/>
          <w:rtl/>
        </w:rPr>
        <w:t>א</w:t>
      </w:r>
      <w:r>
        <w:rPr>
          <w:rtl/>
        </w:rPr>
        <w:t>קדים וא</w:t>
      </w:r>
      <w:r>
        <w:rPr>
          <w:rFonts w:hint="cs"/>
          <w:rtl/>
        </w:rPr>
        <w:t>ו</w:t>
      </w:r>
      <w:r>
        <w:rPr>
          <w:rtl/>
        </w:rPr>
        <w:t>מר, כי במישור 'התוצאה', קרי, כלליותו של תיקון 53 עצמו על</w:t>
      </w:r>
      <w:r>
        <w:rPr>
          <w:rFonts w:hint="cs"/>
          <w:rtl/>
        </w:rPr>
        <w:t>-</w:t>
      </w:r>
      <w:r>
        <w:rPr>
          <w:rtl/>
        </w:rPr>
        <w:t xml:space="preserve">פי </w:t>
      </w:r>
      <w:r>
        <w:rPr>
          <w:rFonts w:ascii="Century" w:hAnsi="Century" w:cs="Miriam"/>
          <w:b/>
          <w:spacing w:val="0"/>
          <w:sz w:val="22"/>
          <w:szCs w:val="24"/>
          <w:rtl/>
        </w:rPr>
        <w:t>נוסחו</w:t>
      </w:r>
      <w:r>
        <w:rPr>
          <w:rtl/>
        </w:rPr>
        <w:t xml:space="preserve"> – אין בו מ</w:t>
      </w:r>
      <w:r>
        <w:rPr>
          <w:rFonts w:hint="cs"/>
          <w:rtl/>
        </w:rPr>
        <w:t>תוֹ</w:t>
      </w:r>
      <w:r>
        <w:rPr>
          <w:rtl/>
        </w:rPr>
        <w:t xml:space="preserve">ם. איש לא יחלוק כי התיקון הוא בעל אופי כללי, צופה </w:t>
      </w:r>
      <w:r>
        <w:rPr>
          <w:rtl/>
        </w:rPr>
        <w:lastRenderedPageBreak/>
        <w:t>פני עתיד, וחל על מספר לא מוגדר ולא ידוע של נמענים, יושבי ראש ועדות קרואות, בהווה ובעתיד. בתיקון כשלעצמו גם לא ניכרת עבודה 'כירורגית'</w:t>
      </w:r>
      <w:r>
        <w:rPr>
          <w:rFonts w:hint="cs"/>
          <w:rtl/>
        </w:rPr>
        <w:t xml:space="preserve"> כלשהי</w:t>
      </w:r>
      <w:r>
        <w:rPr>
          <w:rtl/>
        </w:rPr>
        <w:t xml:space="preserve">, של יד אשר ביקשה לְפַסֵּל את ההסדר החדש, </w:t>
      </w:r>
      <w:r>
        <w:rPr>
          <w:rFonts w:hint="cs"/>
          <w:rtl/>
        </w:rPr>
        <w:t xml:space="preserve">לעצבוֹ </w:t>
      </w:r>
      <w:r>
        <w:rPr>
          <w:rtl/>
        </w:rPr>
        <w:t>ל</w:t>
      </w:r>
      <w:r>
        <w:rPr>
          <w:rFonts w:hint="cs"/>
          <w:rtl/>
        </w:rPr>
        <w:t xml:space="preserve">פי </w:t>
      </w:r>
      <w:r>
        <w:rPr>
          <w:rtl/>
        </w:rPr>
        <w:t>מידותיו של אדם כזה או אחר. קביעה כי תיקון 53 נגוע בפרסונליות, מחייבת למצ</w:t>
      </w:r>
      <w:r>
        <w:rPr>
          <w:rFonts w:hint="cs"/>
          <w:rtl/>
        </w:rPr>
        <w:t>ו</w:t>
      </w:r>
      <w:r>
        <w:rPr>
          <w:rtl/>
        </w:rPr>
        <w:t xml:space="preserve">א עוגן לכך בכוונת המחוקק בלבד – וכאן, כפי שאראה, טמון קושי.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אכן, כפי </w:t>
      </w:r>
      <w:r w:rsidRPr="00632E1C">
        <w:rPr>
          <w:rtl/>
        </w:rPr>
        <w:t>שציין חברי</w:t>
      </w:r>
      <w:r w:rsidRPr="00632E1C">
        <w:rPr>
          <w:rFonts w:hint="cs"/>
          <w:rtl/>
        </w:rPr>
        <w:t>,</w:t>
      </w:r>
      <w:r w:rsidRPr="00632E1C">
        <w:rPr>
          <w:rtl/>
        </w:rPr>
        <w:t xml:space="preserve"> מ"מ הנשיא</w:t>
      </w:r>
      <w:r w:rsidRPr="00632E1C">
        <w:rPr>
          <w:rFonts w:hint="cs"/>
          <w:rtl/>
        </w:rPr>
        <w:t>,</w:t>
      </w:r>
      <w:r w:rsidRPr="00632E1C">
        <w:rPr>
          <w:rtl/>
        </w:rPr>
        <w:t xml:space="preserve"> עניינה של טבריה עמד במוקד הדיונים בוועדות הכנסת (פסקה 38); אמת, מבט על הליך החקיקה מלמד על זריזות וחריצות לה</w:t>
      </w:r>
      <w:r w:rsidRPr="00632E1C">
        <w:rPr>
          <w:rFonts w:hint="cs"/>
          <w:rtl/>
        </w:rPr>
        <w:t>חל</w:t>
      </w:r>
      <w:r w:rsidRPr="00632E1C">
        <w:rPr>
          <w:rtl/>
        </w:rPr>
        <w:t xml:space="preserve">ת התיקון </w:t>
      </w:r>
      <w:r w:rsidRPr="00632E1C">
        <w:rPr>
          <w:rFonts w:hint="cs"/>
          <w:rtl/>
        </w:rPr>
        <w:t>כבר בבחירות הקרובות, כדי לאפשר למשיב 4</w:t>
      </w:r>
      <w:r w:rsidRPr="00632E1C">
        <w:rPr>
          <w:rtl/>
        </w:rPr>
        <w:t xml:space="preserve"> </w:t>
      </w:r>
      <w:r w:rsidRPr="00632E1C">
        <w:rPr>
          <w:rFonts w:hint="cs"/>
          <w:rtl/>
        </w:rPr>
        <w:t xml:space="preserve">להתמודד </w:t>
      </w:r>
      <w:r w:rsidRPr="00632E1C">
        <w:rPr>
          <w:rtl/>
        </w:rPr>
        <w:t>בטבריה (פסקה 40). ואולם, האם נתונים</w:t>
      </w:r>
      <w:r>
        <w:rPr>
          <w:rtl/>
        </w:rPr>
        <w:t xml:space="preserve"> אלו מלמדים בהכרח, כי תכליתו של תיקון 53 – כלל המטרות, היעדים והאינטרסים ש</w:t>
      </w:r>
      <w:r>
        <w:rPr>
          <w:rFonts w:hint="cs"/>
          <w:rtl/>
        </w:rPr>
        <w:t>בבסיסו</w:t>
      </w:r>
      <w:r>
        <w:rPr>
          <w:rtl/>
        </w:rPr>
        <w:t xml:space="preserve"> – לא נועדו לשרת אלא את עניינו של המשיב 4, כאשר תחולתו הכללית מכאן והלאה, אינה מעלה ומורידה בעיני המחוקק? מנ</w:t>
      </w:r>
      <w:r>
        <w:rPr>
          <w:rFonts w:hint="cs"/>
          <w:rtl/>
        </w:rPr>
        <w:t>י</w:t>
      </w:r>
      <w:r>
        <w:rPr>
          <w:rtl/>
        </w:rPr>
        <w:t xml:space="preserve">ין הביטחון לשלול את המסקנה, כי עניינה של העיר טבריה, לכד את תשומת ליבו של המחוקק </w:t>
      </w:r>
      <w:r>
        <w:rPr>
          <w:rFonts w:ascii="Century" w:hAnsi="Century" w:cs="Miriam"/>
          <w:b/>
          <w:spacing w:val="0"/>
          <w:sz w:val="22"/>
          <w:szCs w:val="24"/>
          <w:rtl/>
        </w:rPr>
        <w:t>והניע</w:t>
      </w:r>
      <w:r>
        <w:rPr>
          <w:rtl/>
        </w:rPr>
        <w:t xml:space="preserve"> אותו לתקן את תיקון 53, מתוך שכנוע כי המקרה המקומי, מלמד על חולשה עקרונית בדין הקיים, עובר לתיקונו</w:t>
      </w:r>
      <w:r>
        <w:rPr>
          <w:rFonts w:hint="cs"/>
          <w:rtl/>
        </w:rPr>
        <w:t>?</w:t>
      </w:r>
      <w:r>
        <w:rPr>
          <w:rtl/>
        </w:rPr>
        <w:t xml:space="preserve"> </w:t>
      </w:r>
      <w:r>
        <w:rPr>
          <w:rFonts w:hint="cs"/>
          <w:rtl/>
        </w:rPr>
        <w:t>[</w:t>
      </w:r>
      <w:r>
        <w:rPr>
          <w:rtl/>
        </w:rPr>
        <w:t>ראו, למשל, את דברי ח"כ הלוי בפרוטוקול ועדת הכנסת מיום 5.6.2023, לפיהם הוא נדרש לראשונה לסוגיה במהלך סיור בעיר טבריה, ובמסגרתו השתכנע כי נדרש תיקון בעל אופי עקרוני</w:t>
      </w:r>
      <w:r>
        <w:rPr>
          <w:rFonts w:hint="cs"/>
          <w:rtl/>
        </w:rPr>
        <w:t>].</w:t>
      </w:r>
      <w:r>
        <w:rPr>
          <w:rtl/>
        </w:rPr>
        <w:t xml:space="preserve"> ספק זה, רלבנטי גם ביחס לשאלת עיתוי החקיקה. האם תזמון החקיקה, והמוטיבציה הניכרת, להעלות את התיקון על ספר החוקים עוד לפני הבחירות הקרובות, מחייבים את המסקנה כי המשיב 4, והוא בלבד, עמד בראש מעייניו של המחוקק</w:t>
      </w:r>
      <w:r>
        <w:rPr>
          <w:rFonts w:hint="cs"/>
          <w:rtl/>
        </w:rPr>
        <w:t>?</w:t>
      </w:r>
      <w:r>
        <w:rPr>
          <w:rtl/>
        </w:rPr>
        <w:t xml:space="preserve"> א</w:t>
      </w:r>
      <w:r>
        <w:rPr>
          <w:rFonts w:hint="cs"/>
          <w:rtl/>
        </w:rPr>
        <w:t>ו</w:t>
      </w:r>
      <w:r>
        <w:rPr>
          <w:rtl/>
        </w:rPr>
        <w:t xml:space="preserve"> שמא אין זה אלא רצונו של המחוקק, לאפשר </w:t>
      </w:r>
      <w:r>
        <w:rPr>
          <w:rFonts w:hint="cs"/>
          <w:rtl/>
        </w:rPr>
        <w:t>לרבבות</w:t>
      </w:r>
      <w:r>
        <w:rPr>
          <w:rtl/>
        </w:rPr>
        <w:t xml:space="preserve"> בעלי זכות הבחירה בטבריה, ל</w:t>
      </w:r>
      <w:r>
        <w:rPr>
          <w:rFonts w:hint="cs"/>
          <w:rtl/>
        </w:rPr>
        <w:t>ֵ</w:t>
      </w:r>
      <w:r>
        <w:rPr>
          <w:rtl/>
        </w:rPr>
        <w:t xml:space="preserve">הנות מפירות התיקון – העקרוני – בהקדם האפשרי?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במבט כללי, בבואנו להבחין בין </w:t>
      </w:r>
      <w:r w:rsidRPr="00B362C0">
        <w:rPr>
          <w:rFonts w:ascii="Century" w:hAnsi="Century" w:cs="Miriam"/>
          <w:b/>
          <w:spacing w:val="0"/>
          <w:sz w:val="22"/>
          <w:szCs w:val="24"/>
          <w:rtl/>
        </w:rPr>
        <w:t>מניע</w:t>
      </w:r>
      <w:r>
        <w:rPr>
          <w:rtl/>
        </w:rPr>
        <w:t xml:space="preserve"> </w:t>
      </w:r>
      <w:r>
        <w:rPr>
          <w:rFonts w:hint="cs"/>
          <w:rtl/>
        </w:rPr>
        <w:t xml:space="preserve">לבין </w:t>
      </w:r>
      <w:r w:rsidRPr="00B362C0">
        <w:rPr>
          <w:rFonts w:ascii="Century" w:hAnsi="Century" w:cs="Miriam"/>
          <w:b/>
          <w:spacing w:val="0"/>
          <w:sz w:val="22"/>
          <w:szCs w:val="24"/>
          <w:rtl/>
        </w:rPr>
        <w:t>תכלית</w:t>
      </w:r>
      <w:r>
        <w:rPr>
          <w:rtl/>
        </w:rPr>
        <w:t xml:space="preserve">, מי ינחנו דרך בין אמירות של ח"כ פלוני בעלות גוון פרסונלי, לבין התבטאויות בעלות נופך עקרוני, של ח"כ פלמוני? </w:t>
      </w:r>
      <w:r>
        <w:rPr>
          <w:rFonts w:hint="cs"/>
          <w:rtl/>
        </w:rPr>
        <w:t xml:space="preserve">כיצד נסווג את כל שאר חברי הכנסת שלא התבטאו, אלא רק הצביעו? </w:t>
      </w:r>
      <w:r>
        <w:rPr>
          <w:rtl/>
        </w:rPr>
        <w:t xml:space="preserve">האם נייחס משקל מיוחד, למשל, להיעדרם של חברי ועדות קרואות בערים אחרות, על מנת לחזק את המסקנה כי התיקון נסוב בסופו של </w:t>
      </w:r>
      <w:r>
        <w:rPr>
          <w:rFonts w:hint="cs"/>
          <w:rtl/>
        </w:rPr>
        <w:t>דבר</w:t>
      </w:r>
      <w:r>
        <w:rPr>
          <w:rtl/>
        </w:rPr>
        <w:t xml:space="preserve"> על טבריה לבדה (ראו פסקה 38 </w:t>
      </w:r>
      <w:r>
        <w:rPr>
          <w:rFonts w:ascii="Century" w:hAnsi="Century"/>
          <w:sz w:val="22"/>
          <w:rtl/>
        </w:rPr>
        <w:t>לחוות דעתו</w:t>
      </w:r>
      <w:r>
        <w:rPr>
          <w:rtl/>
        </w:rPr>
        <w:t xml:space="preserve"> של חברי); או נ</w:t>
      </w:r>
      <w:r>
        <w:rPr>
          <w:rFonts w:hint="cs"/>
          <w:rtl/>
        </w:rPr>
        <w:t>ֵ</w:t>
      </w:r>
      <w:r>
        <w:rPr>
          <w:rtl/>
        </w:rPr>
        <w:t>עתר</w:t>
      </w:r>
      <w:r>
        <w:rPr>
          <w:rFonts w:hint="cs"/>
          <w:rtl/>
        </w:rPr>
        <w:t xml:space="preserve"> </w:t>
      </w:r>
      <w:r>
        <w:rPr>
          <w:rtl/>
        </w:rPr>
        <w:t xml:space="preserve">דווקא לאמירתו המפורשת של יוזם החוק, ח"כ הלוי, לפיה </w:t>
      </w:r>
      <w:r>
        <w:rPr>
          <w:rFonts w:ascii="Century" w:hAnsi="Century" w:cs="Miriam"/>
          <w:b/>
          <w:spacing w:val="0"/>
          <w:sz w:val="22"/>
          <w:szCs w:val="24"/>
          <w:rtl/>
        </w:rPr>
        <w:t>"החוק הזה הוא כללי. הוא גם נוגע לכמה וכמה מועצות נכון להיום. אבל בודאי שהוא כללי וצופה פני עתיד"</w:t>
      </w:r>
      <w:r>
        <w:rPr>
          <w:rtl/>
        </w:rPr>
        <w:t xml:space="preserve"> (פרוטוקול ועדת הפנים מיום 20.6.2023, בעמ' 7) – אמירה העולה בקנה אחד, נזכיר, עם נוסח התיקון עצמו, שהוא אכן בעל אופי כללי. האם עלינו להעמיק חקר בדברי חברי הכנסת בוועדות ובמליאה, או דווקא להעלות על נס את דברי ההסבר להצעת החוק</w:t>
      </w:r>
      <w:r w:rsidRPr="00632E1C">
        <w:rPr>
          <w:rtl/>
        </w:rPr>
        <w:t>, הנושאים אופי עקרוני מובהק, ועיקרם בהרחבת הזכות להיבחר, כפי שאף מציין חברי</w:t>
      </w:r>
      <w:r w:rsidRPr="00632E1C">
        <w:rPr>
          <w:rFonts w:hint="cs"/>
          <w:rtl/>
        </w:rPr>
        <w:t xml:space="preserve">, מ"מ הנשיא </w:t>
      </w:r>
      <w:r w:rsidRPr="00632E1C">
        <w:rPr>
          <w:rtl/>
        </w:rPr>
        <w:t>(פסקה 37)?</w:t>
      </w:r>
      <w:r>
        <w:rPr>
          <w:rtl/>
        </w:rPr>
        <w:t xml:space="preserve">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ודוק: אינני מתכוון לה</w:t>
      </w:r>
      <w:r>
        <w:rPr>
          <w:rFonts w:hint="cs"/>
          <w:rtl/>
        </w:rPr>
        <w:t>מעיט מ</w:t>
      </w:r>
      <w:r>
        <w:rPr>
          <w:rtl/>
        </w:rPr>
        <w:t xml:space="preserve">חשיבותם של דברים הנאמרים בדיוני ועדות הכנסת ובמליאתה. רחוק מכך. על חשיבותם של אלה במסגרת בחינת התכלית הסובייקטיבית, ועל חשיבותה של התכלית הסובייקטיבית בתהליך הפרשני – עמדתי בפסקי-דין אחרים (ראו למשל, דנג"ץ 5026/16 </w:t>
      </w:r>
      <w:r>
        <w:rPr>
          <w:rFonts w:ascii="Century" w:hAnsi="Century" w:cs="Miriam"/>
          <w:b/>
          <w:spacing w:val="0"/>
          <w:sz w:val="22"/>
          <w:szCs w:val="24"/>
          <w:rtl/>
        </w:rPr>
        <w:t>גיני נ' הרבנות הראשית לישראל</w:t>
      </w:r>
      <w:r>
        <w:rPr>
          <w:rtl/>
        </w:rPr>
        <w:t xml:space="preserve"> פסקאות 11-4 (12</w:t>
      </w:r>
      <w:r>
        <w:rPr>
          <w:rFonts w:ascii="Century" w:hAnsi="Century"/>
          <w:sz w:val="22"/>
          <w:rtl/>
        </w:rPr>
        <w:t>.</w:t>
      </w:r>
      <w:r>
        <w:rPr>
          <w:rFonts w:ascii="Century" w:hAnsi="Century" w:hint="cs"/>
          <w:sz w:val="22"/>
          <w:rtl/>
        </w:rPr>
        <w:t>9</w:t>
      </w:r>
      <w:r>
        <w:rPr>
          <w:rFonts w:ascii="Century" w:hAnsi="Century"/>
          <w:sz w:val="22"/>
          <w:rtl/>
        </w:rPr>
        <w:t>.2017)</w:t>
      </w:r>
      <w:r>
        <w:rPr>
          <w:rtl/>
        </w:rPr>
        <w:t xml:space="preserve">). ואולם, בכל הנוגע להבחנה הדקה שבין </w:t>
      </w:r>
      <w:r w:rsidRPr="002852D1">
        <w:rPr>
          <w:rFonts w:ascii="Century" w:hAnsi="Century" w:cs="Miriam"/>
          <w:b/>
          <w:spacing w:val="0"/>
          <w:sz w:val="22"/>
          <w:szCs w:val="24"/>
          <w:rtl/>
        </w:rPr>
        <w:t>מניע</w:t>
      </w:r>
      <w:r>
        <w:rPr>
          <w:rtl/>
        </w:rPr>
        <w:t xml:space="preserve"> ל</w:t>
      </w:r>
      <w:r w:rsidRPr="002852D1">
        <w:rPr>
          <w:rFonts w:ascii="Century" w:hAnsi="Century" w:cs="Miriam"/>
          <w:b/>
          <w:spacing w:val="0"/>
          <w:sz w:val="22"/>
          <w:szCs w:val="24"/>
          <w:rtl/>
        </w:rPr>
        <w:t>תכלית</w:t>
      </w:r>
      <w:r>
        <w:rPr>
          <w:rtl/>
        </w:rPr>
        <w:t xml:space="preserve"> – כאשר התוצר החקיקתי המוגמר בסופו של </w:t>
      </w:r>
      <w:r>
        <w:rPr>
          <w:rFonts w:hint="cs"/>
          <w:rtl/>
        </w:rPr>
        <w:t xml:space="preserve">דבר </w:t>
      </w:r>
      <w:r>
        <w:rPr>
          <w:rtl/>
        </w:rPr>
        <w:t xml:space="preserve">הוא כללי, וחל על קבוצה בלתי-מסוימת של פרטים – </w:t>
      </w:r>
      <w:r>
        <w:rPr>
          <w:rFonts w:hint="cs"/>
          <w:rtl/>
        </w:rPr>
        <w:t xml:space="preserve">אני </w:t>
      </w:r>
      <w:r>
        <w:rPr>
          <w:rtl/>
        </w:rPr>
        <w:t xml:space="preserve">מתקשה לבוא לכלל מסקנה, כי דבר החקיקה שלפנינו צבוע בצבעים עזים של פרסונליות. חוששני, כי חרף האזהרה הידועה, נגררים אנו להכרעה הנופלת </w:t>
      </w:r>
      <w:r>
        <w:rPr>
          <w:rFonts w:ascii="Century" w:hAnsi="Century" w:cs="Miriam"/>
          <w:b/>
          <w:spacing w:val="0"/>
          <w:szCs w:val="24"/>
          <w:rtl/>
        </w:rPr>
        <w:t>"על-פי הפסיכואנליזה של המחוקק ולא על פי האנליזה של החוק"</w:t>
      </w:r>
      <w:r>
        <w:rPr>
          <w:rtl/>
        </w:rPr>
        <w:t xml:space="preserve"> (כדברי הנשיא </w:t>
      </w:r>
      <w:r>
        <w:rPr>
          <w:rFonts w:ascii="Century" w:hAnsi="Century" w:cs="Miriam"/>
          <w:b/>
          <w:spacing w:val="0"/>
          <w:szCs w:val="24"/>
          <w:rtl/>
        </w:rPr>
        <w:t>א' ברק</w:t>
      </w:r>
      <w:r>
        <w:rPr>
          <w:rtl/>
        </w:rPr>
        <w:t xml:space="preserve"> בבג"ץ 246/81 </w:t>
      </w:r>
      <w:r>
        <w:rPr>
          <w:rFonts w:ascii="Century" w:hAnsi="Century" w:cs="Miriam"/>
          <w:b/>
          <w:spacing w:val="0"/>
          <w:szCs w:val="24"/>
          <w:rtl/>
        </w:rPr>
        <w:t>אגודת דרך ארץ נ' רשות השידור</w:t>
      </w:r>
      <w:r>
        <w:rPr>
          <w:rtl/>
        </w:rPr>
        <w:t>, פ"ד לה(1) 17 (1981)</w:t>
      </w:r>
      <w:r>
        <w:rPr>
          <w:rFonts w:hint="cs"/>
          <w:rtl/>
        </w:rPr>
        <w:t xml:space="preserve">); זהו פח יקוֹש, ועלינו להישמר מכל מִשמר פּן נילכּד בו. </w:t>
      </w:r>
    </w:p>
    <w:p w:rsidR="00C413FD" w:rsidRDefault="00C413FD" w:rsidP="00C413FD">
      <w:pPr>
        <w:pStyle w:val="Ruller41"/>
        <w:spacing w:line="240" w:lineRule="auto"/>
        <w:rPr>
          <w:rtl/>
        </w:rPr>
      </w:pPr>
    </w:p>
    <w:p w:rsidR="00C413FD" w:rsidRDefault="00C413FD" w:rsidP="00C413FD">
      <w:pPr>
        <w:pStyle w:val="Ruller4"/>
        <w:numPr>
          <w:ilvl w:val="0"/>
          <w:numId w:val="26"/>
        </w:numPr>
        <w:tabs>
          <w:tab w:val="clear" w:pos="907"/>
          <w:tab w:val="num" w:pos="1049"/>
        </w:tabs>
        <w:textAlignment w:val="auto"/>
        <w:rPr>
          <w:rtl/>
        </w:rPr>
      </w:pPr>
      <w:r>
        <w:rPr>
          <w:rtl/>
        </w:rPr>
        <w:t xml:space="preserve">מטעמים אלו, </w:t>
      </w:r>
      <w:r>
        <w:rPr>
          <w:rFonts w:hint="cs"/>
          <w:rtl/>
        </w:rPr>
        <w:t xml:space="preserve">אני </w:t>
      </w:r>
      <w:r>
        <w:rPr>
          <w:rtl/>
        </w:rPr>
        <w:t>מתקשה לקבל את מסקנתו של חברי</w:t>
      </w:r>
      <w:r>
        <w:rPr>
          <w:rFonts w:hint="cs"/>
          <w:rtl/>
        </w:rPr>
        <w:t xml:space="preserve">, על </w:t>
      </w:r>
      <w:r>
        <w:rPr>
          <w:rtl/>
        </w:rPr>
        <w:t xml:space="preserve">דבר קיומו של פגם פרסונלי שנפל בתיקון 53. למעשה, הסתייגותי נשענת על נקודת המוצא של חברי, לפיה </w:t>
      </w:r>
      <w:r>
        <w:rPr>
          <w:rFonts w:ascii="Century" w:hAnsi="Century" w:cs="Miriam"/>
          <w:b/>
          <w:spacing w:val="0"/>
          <w:sz w:val="22"/>
          <w:szCs w:val="24"/>
          <w:rtl/>
        </w:rPr>
        <w:t>"מאחר שהטענה כי בבסיס דבר חקיקה של הכנסת ניצבת תכלית פרסונלית חותרת תחת חזקת החוקתיות של החוק, ברי שעליה להישען על תשתית ממשית"</w:t>
      </w:r>
      <w:r>
        <w:rPr>
          <w:rtl/>
        </w:rPr>
        <w:t xml:space="preserve"> (פסקה 59</w:t>
      </w:r>
      <w:r>
        <w:rPr>
          <w:rFonts w:hint="cs"/>
          <w:rtl/>
        </w:rPr>
        <w:t>).</w:t>
      </w:r>
      <w:r>
        <w:rPr>
          <w:rtl/>
        </w:rPr>
        <w:t xml:space="preserve"> נקודת מוצא זו מקובלת עלי</w:t>
      </w:r>
      <w:r>
        <w:rPr>
          <w:rFonts w:hint="cs"/>
          <w:rtl/>
        </w:rPr>
        <w:t>,</w:t>
      </w:r>
      <w:r>
        <w:rPr>
          <w:rtl/>
        </w:rPr>
        <w:t xml:space="preserve"> ודווקא לאורה, מסקנתו של חברי מוקשית בעינ</w:t>
      </w:r>
      <w:r>
        <w:rPr>
          <w:rFonts w:hint="cs"/>
          <w:rtl/>
        </w:rPr>
        <w:t>ַ</w:t>
      </w:r>
      <w:r>
        <w:rPr>
          <w:rtl/>
        </w:rPr>
        <w:t>י</w:t>
      </w:r>
      <w:r>
        <w:rPr>
          <w:rFonts w:hint="cs"/>
          <w:rtl/>
        </w:rPr>
        <w:t>;</w:t>
      </w:r>
      <w:r>
        <w:rPr>
          <w:rtl/>
        </w:rPr>
        <w:t xml:space="preserve"> הן בגישתה העקרונית, לפיה ניתן לסווג דבר חקיקה כ</w:t>
      </w:r>
      <w:r w:rsidRPr="00752076">
        <w:rPr>
          <w:rFonts w:ascii="Century" w:hAnsi="Century" w:cs="Miriam"/>
          <w:b/>
          <w:spacing w:val="0"/>
          <w:sz w:val="22"/>
          <w:szCs w:val="24"/>
          <w:rtl/>
        </w:rPr>
        <w:t>פרסונלי</w:t>
      </w:r>
      <w:r>
        <w:rPr>
          <w:rtl/>
        </w:rPr>
        <w:t xml:space="preserve">, גם בהעדר ביטוי לכך ב'תוצאת' החוק, ותוך יומרה להבחין בין </w:t>
      </w:r>
      <w:r w:rsidRPr="002852D1">
        <w:rPr>
          <w:rFonts w:ascii="Century" w:hAnsi="Century" w:cs="Miriam"/>
          <w:b/>
          <w:spacing w:val="0"/>
          <w:sz w:val="22"/>
          <w:szCs w:val="24"/>
          <w:rtl/>
        </w:rPr>
        <w:t>מניע</w:t>
      </w:r>
      <w:r>
        <w:rPr>
          <w:rtl/>
        </w:rPr>
        <w:t xml:space="preserve"> לבין </w:t>
      </w:r>
      <w:r w:rsidRPr="002852D1">
        <w:rPr>
          <w:rFonts w:ascii="Century" w:hAnsi="Century" w:cs="Miriam"/>
          <w:b/>
          <w:spacing w:val="0"/>
          <w:sz w:val="22"/>
          <w:szCs w:val="24"/>
          <w:rtl/>
        </w:rPr>
        <w:t>תכלית</w:t>
      </w:r>
      <w:r>
        <w:rPr>
          <w:rtl/>
        </w:rPr>
        <w:t>; הן ביישומה הפרטני בעניינ</w:t>
      </w:r>
      <w:r>
        <w:rPr>
          <w:rFonts w:hint="cs"/>
          <w:rtl/>
        </w:rPr>
        <w:t>נ</w:t>
      </w:r>
      <w:r>
        <w:rPr>
          <w:rtl/>
        </w:rPr>
        <w:t xml:space="preserve">ו, קרי – בקביעה כי עניינו הפרטני של המשיב 4, ניצב בלב </w:t>
      </w:r>
      <w:r w:rsidRPr="002852D1">
        <w:rPr>
          <w:rFonts w:ascii="Century" w:hAnsi="Century" w:cs="Miriam"/>
          <w:b/>
          <w:spacing w:val="0"/>
          <w:sz w:val="22"/>
          <w:szCs w:val="24"/>
          <w:rtl/>
        </w:rPr>
        <w:t>תכלית</w:t>
      </w:r>
      <w:r>
        <w:rPr>
          <w:rtl/>
        </w:rPr>
        <w:t xml:space="preserve"> התיקון, ולא שימש אך </w:t>
      </w:r>
      <w:r w:rsidRPr="002852D1">
        <w:rPr>
          <w:rFonts w:ascii="Century" w:hAnsi="Century" w:cs="Miriam"/>
          <w:b/>
          <w:spacing w:val="0"/>
          <w:sz w:val="22"/>
          <w:szCs w:val="24"/>
          <w:rtl/>
        </w:rPr>
        <w:t>מניע</w:t>
      </w:r>
      <w:r>
        <w:rPr>
          <w:rtl/>
        </w:rPr>
        <w:t xml:space="preserve">, 'טריגר', לקידומו. </w:t>
      </w:r>
    </w:p>
    <w:p w:rsidR="00C413FD" w:rsidRDefault="00C413FD" w:rsidP="00C413FD">
      <w:pPr>
        <w:pStyle w:val="Ruller4"/>
        <w:numPr>
          <w:ilvl w:val="0"/>
          <w:numId w:val="0"/>
        </w:numPr>
        <w:spacing w:line="240" w:lineRule="auto"/>
      </w:pPr>
    </w:p>
    <w:p w:rsidR="00C413FD" w:rsidRDefault="00C413FD" w:rsidP="00C413FD">
      <w:pPr>
        <w:pStyle w:val="Ruller4"/>
        <w:numPr>
          <w:ilvl w:val="0"/>
          <w:numId w:val="26"/>
        </w:numPr>
        <w:tabs>
          <w:tab w:val="clear" w:pos="907"/>
          <w:tab w:val="num" w:pos="1049"/>
        </w:tabs>
        <w:textAlignment w:val="auto"/>
      </w:pPr>
      <w:r>
        <w:rPr>
          <w:rtl/>
        </w:rPr>
        <w:t xml:space="preserve">אשוב ואדגיש: שאלת סיווגו של דבר חקיקה כבעל אופי </w:t>
      </w:r>
      <w:r w:rsidRPr="002852D1">
        <w:rPr>
          <w:rFonts w:ascii="Century" w:hAnsi="Century" w:cs="Miriam"/>
          <w:b/>
          <w:spacing w:val="0"/>
          <w:sz w:val="22"/>
          <w:szCs w:val="24"/>
          <w:rtl/>
        </w:rPr>
        <w:t>פרסונלי</w:t>
      </w:r>
      <w:r>
        <w:rPr>
          <w:rtl/>
        </w:rPr>
        <w:t>, היא סבוכה; אינני מתכוון במסגרת זו, לפרוש</w:t>
      </w:r>
      <w:r>
        <w:rPr>
          <w:rFonts w:hint="cs"/>
          <w:rtl/>
        </w:rPr>
        <w:t>ׂ</w:t>
      </w:r>
      <w:r>
        <w:rPr>
          <w:rtl/>
        </w:rPr>
        <w:t xml:space="preserve"> יריעה שלמה. ה</w:t>
      </w:r>
      <w:r>
        <w:rPr>
          <w:rFonts w:hint="cs"/>
          <w:rtl/>
        </w:rPr>
        <w:t>ִ</w:t>
      </w:r>
      <w:r>
        <w:rPr>
          <w:rtl/>
        </w:rPr>
        <w:t>צגתי לעיל מש</w:t>
      </w:r>
      <w:r>
        <w:rPr>
          <w:rFonts w:hint="cs"/>
          <w:rtl/>
        </w:rPr>
        <w:t>ׂ</w:t>
      </w:r>
      <w:r>
        <w:rPr>
          <w:rtl/>
        </w:rPr>
        <w:t xml:space="preserve">רעת – לא ממצה – של חיקוקים בעלי נופך </w:t>
      </w:r>
      <w:r w:rsidRPr="002852D1">
        <w:rPr>
          <w:rFonts w:ascii="Century" w:hAnsi="Century" w:cs="Miriam"/>
          <w:b/>
          <w:spacing w:val="0"/>
          <w:sz w:val="22"/>
          <w:szCs w:val="24"/>
          <w:rtl/>
        </w:rPr>
        <w:t>פרסונלי</w:t>
      </w:r>
      <w:r>
        <w:rPr>
          <w:rtl/>
        </w:rPr>
        <w:t xml:space="preserve"> במינונים שונים, על מנת להצביע על מורכבות הדיון המוש</w:t>
      </w:r>
      <w:r>
        <w:rPr>
          <w:rFonts w:hint="cs"/>
          <w:rtl/>
        </w:rPr>
        <w:t>ׂ</w:t>
      </w:r>
      <w:r>
        <w:rPr>
          <w:rtl/>
        </w:rPr>
        <w:t>גי, וזאת בלי להתיימר 'למתוח קו' מפריד בין ה</w:t>
      </w:r>
      <w:r w:rsidRPr="002852D1">
        <w:rPr>
          <w:rFonts w:ascii="Century" w:hAnsi="Century" w:cs="Miriam"/>
          <w:b/>
          <w:spacing w:val="0"/>
          <w:sz w:val="22"/>
          <w:szCs w:val="24"/>
          <w:rtl/>
        </w:rPr>
        <w:t>כללי</w:t>
      </w:r>
      <w:r>
        <w:rPr>
          <w:rtl/>
        </w:rPr>
        <w:t xml:space="preserve"> ל</w:t>
      </w:r>
      <w:r>
        <w:rPr>
          <w:rFonts w:hint="cs"/>
          <w:rtl/>
        </w:rPr>
        <w:t>בין ה</w:t>
      </w:r>
      <w:r w:rsidRPr="002852D1">
        <w:rPr>
          <w:rFonts w:ascii="Century" w:hAnsi="Century" w:cs="Miriam"/>
          <w:b/>
          <w:spacing w:val="0"/>
          <w:sz w:val="22"/>
          <w:szCs w:val="24"/>
          <w:rtl/>
        </w:rPr>
        <w:t>פרסונלי</w:t>
      </w:r>
      <w:r>
        <w:rPr>
          <w:rtl/>
        </w:rPr>
        <w:t>. לא כל שכן, שאין בכוונתי ללכת צעד נוסף, ולדון בנפקות המשפטית, של סיווג דבר חקיקה כ</w:t>
      </w:r>
      <w:r w:rsidRPr="002852D1">
        <w:rPr>
          <w:rFonts w:ascii="Century" w:hAnsi="Century" w:cs="Miriam"/>
          <w:b/>
          <w:spacing w:val="0"/>
          <w:sz w:val="22"/>
          <w:szCs w:val="24"/>
          <w:rtl/>
        </w:rPr>
        <w:t>פרסונלי</w:t>
      </w:r>
      <w:r>
        <w:rPr>
          <w:rtl/>
        </w:rPr>
        <w:t>. הערות</w:t>
      </w:r>
      <w:r>
        <w:rPr>
          <w:rFonts w:hint="cs"/>
          <w:rtl/>
        </w:rPr>
        <w:t>ַ</w:t>
      </w:r>
      <w:r>
        <w:rPr>
          <w:rtl/>
        </w:rPr>
        <w:t>י הצטמצמו לקטגוריה מסוימת של פרסונליות, זו ה</w:t>
      </w:r>
      <w:r>
        <w:rPr>
          <w:rFonts w:hint="cs"/>
          <w:rtl/>
        </w:rPr>
        <w:t>ממוקמ</w:t>
      </w:r>
      <w:r>
        <w:rPr>
          <w:rtl/>
        </w:rPr>
        <w:t>ת בקצה המש</w:t>
      </w:r>
      <w:r>
        <w:rPr>
          <w:rFonts w:hint="cs"/>
          <w:rtl/>
        </w:rPr>
        <w:t>ׂ</w:t>
      </w:r>
      <w:r>
        <w:rPr>
          <w:rtl/>
        </w:rPr>
        <w:t xml:space="preserve">רעת, הנשענת על 'כוונה' פרסונלית בלבד, גם בהעדר ביטוי ב'תוצאה' פרסונלית – ועל החלתה בענייננו. </w:t>
      </w:r>
    </w:p>
    <w:p w:rsidR="00C413FD" w:rsidRDefault="00C413FD" w:rsidP="00C413FD">
      <w:pPr>
        <w:pStyle w:val="Ruller41"/>
        <w:rPr>
          <w:rtl/>
        </w:rPr>
      </w:pPr>
    </w:p>
    <w:p w:rsidR="00C413FD" w:rsidRDefault="00C413FD" w:rsidP="00C413FD">
      <w:pPr>
        <w:pStyle w:val="Ruller41"/>
        <w:rPr>
          <w:u w:val="single"/>
          <w:rtl/>
        </w:rPr>
      </w:pPr>
      <w:r w:rsidRPr="001426A4">
        <w:rPr>
          <w:rFonts w:ascii="Century" w:hAnsi="Century" w:cs="Miriam"/>
          <w:b/>
          <w:spacing w:val="0"/>
          <w:szCs w:val="24"/>
          <w:rtl/>
        </w:rPr>
        <w:t>תכליתו הסובייקטיבית של תיקון 53</w:t>
      </w:r>
    </w:p>
    <w:p w:rsidR="00C413FD" w:rsidRDefault="00C413FD" w:rsidP="00C413FD">
      <w:pPr>
        <w:pStyle w:val="Ruller4"/>
        <w:numPr>
          <w:ilvl w:val="0"/>
          <w:numId w:val="26"/>
        </w:numPr>
        <w:tabs>
          <w:tab w:val="clear" w:pos="907"/>
          <w:tab w:val="num" w:pos="1049"/>
        </w:tabs>
        <w:textAlignment w:val="auto"/>
        <w:rPr>
          <w:rtl/>
        </w:rPr>
      </w:pPr>
      <w:r>
        <w:rPr>
          <w:rFonts w:hint="cs"/>
          <w:rtl/>
        </w:rPr>
        <w:lastRenderedPageBreak/>
        <w:t xml:space="preserve">מחמת </w:t>
      </w:r>
      <w:r>
        <w:rPr>
          <w:rtl/>
        </w:rPr>
        <w:t xml:space="preserve">הסתייגותי מקביעתו של חברי, </w:t>
      </w:r>
      <w:r>
        <w:rPr>
          <w:rFonts w:hint="cs"/>
          <w:rtl/>
        </w:rPr>
        <w:t xml:space="preserve">מ"מ הנשיא, </w:t>
      </w:r>
      <w:r>
        <w:rPr>
          <w:rtl/>
        </w:rPr>
        <w:t>בדבר אופיו ה</w:t>
      </w:r>
      <w:r w:rsidRPr="008B1DE5">
        <w:rPr>
          <w:rFonts w:ascii="Century" w:hAnsi="Century" w:cs="Miriam"/>
          <w:b/>
          <w:spacing w:val="0"/>
          <w:sz w:val="22"/>
          <w:szCs w:val="24"/>
          <w:rtl/>
        </w:rPr>
        <w:t>פרסונלי</w:t>
      </w:r>
      <w:r>
        <w:rPr>
          <w:rtl/>
        </w:rPr>
        <w:t xml:space="preserve"> של תיקון 53, </w:t>
      </w:r>
      <w:r>
        <w:rPr>
          <w:rFonts w:hint="cs"/>
          <w:rtl/>
        </w:rPr>
        <w:t>נגזר</w:t>
      </w:r>
      <w:r>
        <w:rPr>
          <w:rtl/>
        </w:rPr>
        <w:t xml:space="preserve"> גם ניתוח שונה של תכליתו הסובייקטיבית של התיקון. כפי שציינתי לעיל, חברי סבור</w:t>
      </w:r>
      <w:r>
        <w:rPr>
          <w:rFonts w:hint="cs"/>
          <w:rtl/>
        </w:rPr>
        <w:t>,</w:t>
      </w:r>
      <w:r>
        <w:rPr>
          <w:rtl/>
        </w:rPr>
        <w:t xml:space="preserve"> כי התכלית הסובייקטיבית של תיקון 53 משמיעה בהכרח</w:t>
      </w:r>
      <w:r>
        <w:rPr>
          <w:rFonts w:hint="cs"/>
          <w:rtl/>
        </w:rPr>
        <w:t>,</w:t>
      </w:r>
      <w:r>
        <w:rPr>
          <w:rtl/>
        </w:rPr>
        <w:t xml:space="preserve"> כי התיקון יחול גם בבחירות המקומיות הקרובות. קביעה זו הי</w:t>
      </w:r>
      <w:r>
        <w:rPr>
          <w:rFonts w:hint="cs"/>
          <w:rtl/>
        </w:rPr>
        <w:t>א</w:t>
      </w:r>
      <w:r>
        <w:rPr>
          <w:rtl/>
        </w:rPr>
        <w:t xml:space="preserve"> פועל </w:t>
      </w:r>
      <w:r>
        <w:rPr>
          <w:rFonts w:hint="cs"/>
          <w:rtl/>
        </w:rPr>
        <w:t>יוצא מ</w:t>
      </w:r>
      <w:r>
        <w:rPr>
          <w:rtl/>
        </w:rPr>
        <w:t xml:space="preserve">מסקנתו, </w:t>
      </w:r>
      <w:r>
        <w:rPr>
          <w:rFonts w:hint="cs"/>
          <w:rtl/>
        </w:rPr>
        <w:t>ש</w:t>
      </w:r>
      <w:r>
        <w:rPr>
          <w:rtl/>
        </w:rPr>
        <w:t xml:space="preserve">לפיה </w:t>
      </w:r>
      <w:r>
        <w:rPr>
          <w:rFonts w:ascii="Century" w:hAnsi="Century" w:cs="Miriam"/>
          <w:b/>
          <w:spacing w:val="0"/>
          <w:sz w:val="22"/>
          <w:szCs w:val="24"/>
          <w:rtl/>
        </w:rPr>
        <w:t>"במוקד הליך החקיקה ניצבה התכלית לאפשר לבועז יוסף להתמודד בבחירות הקרובות"</w:t>
      </w:r>
      <w:r>
        <w:rPr>
          <w:rtl/>
        </w:rPr>
        <w:t xml:space="preserve"> (פסקה 62). דעתי שונה. כאמור, אינני סבור כי בידינו ראיות</w:t>
      </w:r>
      <w:r>
        <w:rPr>
          <w:rFonts w:hint="cs"/>
          <w:rtl/>
        </w:rPr>
        <w:t xml:space="preserve"> ברמת שכנוע מספקת</w:t>
      </w:r>
      <w:r>
        <w:rPr>
          <w:rtl/>
        </w:rPr>
        <w:t xml:space="preserve">, המלמדות </w:t>
      </w:r>
      <w:r>
        <w:rPr>
          <w:rFonts w:hint="cs"/>
          <w:rtl/>
        </w:rPr>
        <w:t>על כך שהענקת האפשרות</w:t>
      </w:r>
      <w:r>
        <w:rPr>
          <w:rtl/>
        </w:rPr>
        <w:t xml:space="preserve"> </w:t>
      </w:r>
      <w:r>
        <w:rPr>
          <w:rFonts w:hint="cs"/>
          <w:rtl/>
        </w:rPr>
        <w:t>ל</w:t>
      </w:r>
      <w:r>
        <w:rPr>
          <w:rtl/>
        </w:rPr>
        <w:t>מר בועז יוסף להתמודד בבחירות הקרובות, ניצבה במוקד הליך החקיקה, באופן שניתן להגדירה</w:t>
      </w:r>
      <w:r>
        <w:rPr>
          <w:rFonts w:hint="cs"/>
          <w:rtl/>
        </w:rPr>
        <w:t>ּ</w:t>
      </w:r>
      <w:r>
        <w:rPr>
          <w:rtl/>
        </w:rPr>
        <w:t xml:space="preserve"> כמטרה וכיעד המרכזי של התיקון, במישור התכלית הסובייקטיבית. אכן, חברי כנסת בהחלט שאפוּ, לכל הפחות, שהעיר טבריה ת</w:t>
      </w:r>
      <w:r>
        <w:rPr>
          <w:rFonts w:hint="cs"/>
          <w:rtl/>
        </w:rPr>
        <w:t>ֵ</w:t>
      </w:r>
      <w:r>
        <w:rPr>
          <w:rtl/>
        </w:rPr>
        <w:t>הנה, בטווח הזמן המ</w:t>
      </w:r>
      <w:r>
        <w:rPr>
          <w:rFonts w:hint="cs"/>
          <w:rtl/>
        </w:rPr>
        <w:t>י</w:t>
      </w:r>
      <w:r>
        <w:rPr>
          <w:rtl/>
        </w:rPr>
        <w:t>ידי, מהאיזון הנורמטיבי החדש שתיקון 53 מביא בכנפיו; ואולם אין מקום למסקנה</w:t>
      </w:r>
      <w:r>
        <w:rPr>
          <w:rFonts w:hint="cs"/>
          <w:rtl/>
        </w:rPr>
        <w:t xml:space="preserve"> החלטית,</w:t>
      </w:r>
      <w:r>
        <w:rPr>
          <w:rtl/>
        </w:rPr>
        <w:t xml:space="preserve"> כי התכלית הסובייקטיבית מתמצית בעניינו של מר יוסף. </w:t>
      </w:r>
      <w:r>
        <w:rPr>
          <w:rFonts w:hint="cs"/>
          <w:rtl/>
        </w:rPr>
        <w:t xml:space="preserve">גם איננו יודעים את צפונות-ליבם והלכי-מחשבתם של חברי כנסת רבים שנצרו את לשונם, לא שיתפו בהגיגיהם, והסתפקו בהצבעה. האם נדון את כולם כאחד לכף חובה? </w:t>
      </w:r>
      <w:r>
        <w:rPr>
          <w:rtl/>
        </w:rPr>
        <w:t xml:space="preserve">כפי שהראיתי, עניינו הספציפי של מר יוסף יכול להתפרש </w:t>
      </w:r>
      <w:r w:rsidRPr="008B1DE5">
        <w:rPr>
          <w:rtl/>
        </w:rPr>
        <w:t>כ</w:t>
      </w:r>
      <w:r>
        <w:rPr>
          <w:rFonts w:ascii="Century" w:hAnsi="Century" w:cs="Miriam"/>
          <w:b/>
          <w:spacing w:val="0"/>
          <w:sz w:val="22"/>
          <w:szCs w:val="24"/>
          <w:rtl/>
        </w:rPr>
        <w:t>מניע</w:t>
      </w:r>
      <w:r>
        <w:rPr>
          <w:rtl/>
        </w:rPr>
        <w:t xml:space="preserve"> לתיקון, בעוד </w:t>
      </w:r>
      <w:r>
        <w:rPr>
          <w:rFonts w:ascii="Century" w:hAnsi="Century" w:cs="Miriam"/>
          <w:b/>
          <w:spacing w:val="0"/>
          <w:sz w:val="22"/>
          <w:szCs w:val="24"/>
          <w:rtl/>
        </w:rPr>
        <w:t>תכליתו</w:t>
      </w:r>
      <w:r>
        <w:rPr>
          <w:rtl/>
        </w:rPr>
        <w:t xml:space="preserve"> של התיקון – ב</w:t>
      </w:r>
      <w:r>
        <w:rPr>
          <w:rFonts w:hint="cs"/>
          <w:rtl/>
        </w:rPr>
        <w:t>ה</w:t>
      </w:r>
      <w:r>
        <w:rPr>
          <w:rtl/>
        </w:rPr>
        <w:t xml:space="preserve">עמדת הסדר עקרוני, כללי וצופה פני עתיד, המתיישבת היטב גם עם תחולה נדחית. לכך מצטרפים דברי לעיל, בדבר כוונת </w:t>
      </w:r>
      <w:r w:rsidRPr="00632E1C">
        <w:rPr>
          <w:rtl/>
        </w:rPr>
        <w:t>המחוקק לשמור על העיקרון לפיו "</w:t>
      </w:r>
      <w:r w:rsidRPr="00632E1C">
        <w:rPr>
          <w:rFonts w:ascii="Century" w:hAnsi="Century" w:cs="Miriam"/>
          <w:b/>
          <w:spacing w:val="0"/>
          <w:sz w:val="22"/>
          <w:szCs w:val="24"/>
          <w:rtl/>
        </w:rPr>
        <w:t>אין לשנות את כללי המשחק תוך כדי המשחק"</w:t>
      </w:r>
      <w:r w:rsidRPr="00632E1C">
        <w:rPr>
          <w:rtl/>
        </w:rPr>
        <w:t xml:space="preserve"> – </w:t>
      </w:r>
      <w:r w:rsidRPr="00632E1C">
        <w:rPr>
          <w:rFonts w:hint="cs"/>
          <w:rtl/>
        </w:rPr>
        <w:t xml:space="preserve">עיקרון </w:t>
      </w:r>
      <w:r w:rsidRPr="00632E1C">
        <w:rPr>
          <w:rtl/>
        </w:rPr>
        <w:t>אשר בוודאי מכתיב תחולה נד</w:t>
      </w:r>
      <w:r>
        <w:rPr>
          <w:rtl/>
        </w:rPr>
        <w:t xml:space="preserve">חית של התיקון. סבורני אפוא, כי </w:t>
      </w:r>
      <w:r w:rsidRPr="00632E1C">
        <w:rPr>
          <w:rtl/>
        </w:rPr>
        <w:t>תוצא</w:t>
      </w:r>
      <w:r>
        <w:rPr>
          <w:rFonts w:hint="cs"/>
          <w:rtl/>
        </w:rPr>
        <w:t>ת פסק דיננו,</w:t>
      </w:r>
      <w:r w:rsidRPr="00632E1C">
        <w:rPr>
          <w:rtl/>
        </w:rPr>
        <w:t xml:space="preserve"> אינה עומדת בסתירה חזיתית לתכליתו הסובייקטיבית של תיקון 53, אלא</w:t>
      </w:r>
      <w:r>
        <w:rPr>
          <w:rtl/>
        </w:rPr>
        <w:t xml:space="preserve"> עולה עִמה בקנה אחד. </w:t>
      </w:r>
    </w:p>
    <w:p w:rsidR="00C413FD" w:rsidRDefault="00C413FD" w:rsidP="00C413FD">
      <w:pPr>
        <w:pStyle w:val="Ruller41"/>
        <w:rPr>
          <w:rtl/>
        </w:rPr>
      </w:pPr>
    </w:p>
    <w:p w:rsidR="00C413FD" w:rsidRDefault="00C413FD" w:rsidP="00C413FD">
      <w:pPr>
        <w:pStyle w:val="Ruller41"/>
        <w:rPr>
          <w:u w:val="single"/>
          <w:rtl/>
        </w:rPr>
      </w:pPr>
      <w:r w:rsidRPr="00CB5DD9">
        <w:rPr>
          <w:rFonts w:ascii="Century" w:hAnsi="Century" w:cs="Miriam" w:hint="cs"/>
          <w:b/>
          <w:spacing w:val="0"/>
          <w:szCs w:val="24"/>
          <w:rtl/>
        </w:rPr>
        <w:t>ה</w:t>
      </w:r>
      <w:r>
        <w:rPr>
          <w:rFonts w:ascii="Century" w:hAnsi="Century" w:cs="Miriam" w:hint="cs"/>
          <w:b/>
          <w:spacing w:val="0"/>
          <w:szCs w:val="24"/>
          <w:rtl/>
        </w:rPr>
        <w:t>ערה על הכרזת העצמאות</w:t>
      </w:r>
    </w:p>
    <w:p w:rsidR="00C413FD" w:rsidRDefault="00C413FD" w:rsidP="00C413FD">
      <w:pPr>
        <w:pStyle w:val="Ruller4"/>
        <w:numPr>
          <w:ilvl w:val="0"/>
          <w:numId w:val="26"/>
        </w:numPr>
        <w:tabs>
          <w:tab w:val="clear" w:pos="907"/>
          <w:tab w:val="num" w:pos="1049"/>
        </w:tabs>
        <w:rPr>
          <w:rtl/>
        </w:rPr>
      </w:pPr>
      <w:r>
        <w:rPr>
          <w:rFonts w:hint="cs"/>
          <w:rtl/>
        </w:rPr>
        <w:t xml:space="preserve">מעמד נשגב, נעלה ומרומם נודע לה, להכרזת העצמאות (ראו: אליקים רובינשטיין ונעם סולברג "הכרזת העצמאות של מדינת ישראל </w:t>
      </w:r>
      <w:r>
        <w:rPr>
          <w:rtl/>
        </w:rPr>
        <w:t>–</w:t>
      </w:r>
      <w:r>
        <w:rPr>
          <w:rFonts w:hint="cs"/>
          <w:rtl/>
        </w:rPr>
        <w:t xml:space="preserve"> אחרי בּלוֹתה (כמעט) היתה לה עדנה" </w:t>
      </w:r>
      <w:r>
        <w:rPr>
          <w:rFonts w:ascii="Century" w:hAnsi="Century" w:cs="Miriam" w:hint="cs"/>
          <w:b/>
          <w:spacing w:val="0"/>
          <w:szCs w:val="24"/>
          <w:rtl/>
        </w:rPr>
        <w:t>נתיבי משפט וממשל: סוגיות במשפט הציבורי בישראל</w:t>
      </w:r>
      <w:r>
        <w:rPr>
          <w:rFonts w:hint="cs"/>
          <w:rtl/>
        </w:rPr>
        <w:t xml:space="preserve"> 179, 181-180 (2003) (להלן: </w:t>
      </w:r>
      <w:r>
        <w:rPr>
          <w:rFonts w:ascii="Century" w:hAnsi="Century" w:cs="Miriam" w:hint="cs"/>
          <w:b/>
          <w:spacing w:val="0"/>
          <w:szCs w:val="24"/>
          <w:rtl/>
        </w:rPr>
        <w:t>רובינשטיין וסולברג</w:t>
      </w:r>
      <w:r>
        <w:rPr>
          <w:rFonts w:hint="cs"/>
          <w:rtl/>
        </w:rPr>
        <w:t xml:space="preserve">)). חברי, השופט </w:t>
      </w:r>
      <w:r w:rsidRPr="008A30F8">
        <w:rPr>
          <w:rFonts w:ascii="Century" w:hAnsi="Century" w:cs="Miriam" w:hint="cs"/>
          <w:b/>
          <w:spacing w:val="0"/>
          <w:sz w:val="22"/>
          <w:szCs w:val="24"/>
          <w:rtl/>
        </w:rPr>
        <w:t>א' שטיין</w:t>
      </w:r>
      <w:r>
        <w:rPr>
          <w:rFonts w:hint="cs"/>
          <w:rtl/>
        </w:rPr>
        <w:t xml:space="preserve">, מבקש לטעת בה עתה משמעות נוספת, שלא נודעה לה עד כה. חברי 'מעפיל' גבוה מעל גבוה, עד למגילת העצמאות, לצורך הנמקת פסיקתנו כאן. לדבריו, </w:t>
      </w:r>
      <w:r w:rsidRPr="008A30F8">
        <w:rPr>
          <w:rFonts w:ascii="Century" w:hAnsi="Century" w:cs="Miriam" w:hint="cs"/>
          <w:b/>
          <w:spacing w:val="0"/>
          <w:sz w:val="22"/>
          <w:szCs w:val="24"/>
          <w:rtl/>
        </w:rPr>
        <w:t>"הכרעה בעתירות שלפנינו מחייבת בחינה מחדש של יסודות המשפט החוקתי"</w:t>
      </w:r>
      <w:r>
        <w:rPr>
          <w:rFonts w:hint="cs"/>
          <w:rtl/>
        </w:rPr>
        <w:t xml:space="preserve"> (פסקה 2); חברי קובע, כי </w:t>
      </w:r>
      <w:r w:rsidRPr="008A30F8">
        <w:rPr>
          <w:rFonts w:ascii="Century" w:hAnsi="Century" w:cs="Miriam" w:hint="cs"/>
          <w:b/>
          <w:spacing w:val="0"/>
          <w:sz w:val="22"/>
          <w:szCs w:val="24"/>
          <w:rtl/>
        </w:rPr>
        <w:t>"חוקי הכנסת לעולם כפופים לגבולותיה של סמכות החקיקה הכללית אשר נקבעה בהכרזת העצמאות"</w:t>
      </w:r>
      <w:r>
        <w:rPr>
          <w:rFonts w:hint="cs"/>
          <w:rtl/>
        </w:rPr>
        <w:t xml:space="preserve"> (פסקה 17); ובהמשך: </w:t>
      </w:r>
      <w:r w:rsidRPr="008A30F8">
        <w:rPr>
          <w:rFonts w:ascii="Century" w:hAnsi="Century" w:cs="Miriam" w:hint="cs"/>
          <w:b/>
          <w:spacing w:val="0"/>
          <w:sz w:val="22"/>
          <w:szCs w:val="24"/>
          <w:rtl/>
        </w:rPr>
        <w:t>"הכרזת העצמאות קובעת את עיקרון השוויון הגמור [...] כאשר הכנסת מחוקקת חוק שמנוגד לכל אחת ואחת מתפישות השוויון הקיימות והמקובלות, יהא בכך משום הפרה של דרישת השוויון שנקבעה בהכרזת העצמאות"</w:t>
      </w:r>
      <w:r>
        <w:rPr>
          <w:rFonts w:hint="cs"/>
          <w:rtl/>
        </w:rPr>
        <w:t xml:space="preserve"> (פסקאות 38-36). מכאן ממשיך חברי וקובע, כי חוקים פרסונליים פוגעים בשוויון, הכנסת אינה מוסמכת לחוקקם, והם חסרי-תוקף (פסקה 43). במעבר מן הכלל אל הפרט </w:t>
      </w:r>
      <w:r>
        <w:rPr>
          <w:rtl/>
        </w:rPr>
        <w:t>–</w:t>
      </w:r>
      <w:r>
        <w:rPr>
          <w:rFonts w:hint="cs"/>
          <w:rtl/>
        </w:rPr>
        <w:t xml:space="preserve"> תיקון 53 </w:t>
      </w:r>
      <w:r>
        <w:rPr>
          <w:rtl/>
        </w:rPr>
        <w:t>–</w:t>
      </w:r>
      <w:r>
        <w:rPr>
          <w:rFonts w:hint="cs"/>
          <w:rtl/>
        </w:rPr>
        <w:t xml:space="preserve"> קובע חברי, כי </w:t>
      </w:r>
      <w:r w:rsidRPr="008A30F8">
        <w:rPr>
          <w:rFonts w:ascii="Century" w:hAnsi="Century" w:cs="Miriam" w:hint="cs"/>
          <w:b/>
          <w:spacing w:val="0"/>
          <w:sz w:val="22"/>
          <w:szCs w:val="24"/>
          <w:rtl/>
        </w:rPr>
        <w:t>"[</w:t>
      </w:r>
      <w:r>
        <w:rPr>
          <w:rFonts w:ascii="Century" w:hAnsi="Century" w:cs="Miriam" w:hint="cs"/>
          <w:b/>
          <w:spacing w:val="0"/>
          <w:sz w:val="22"/>
          <w:szCs w:val="24"/>
          <w:rtl/>
        </w:rPr>
        <w:t>...</w:t>
      </w:r>
      <w:r w:rsidRPr="008A30F8">
        <w:rPr>
          <w:rFonts w:ascii="Century" w:hAnsi="Century" w:cs="Miriam" w:hint="cs"/>
          <w:b/>
          <w:spacing w:val="0"/>
          <w:sz w:val="22"/>
          <w:szCs w:val="24"/>
          <w:rtl/>
        </w:rPr>
        <w:t>]</w:t>
      </w:r>
      <w:r>
        <w:rPr>
          <w:rFonts w:ascii="Century" w:hAnsi="Century" w:cs="Miriam" w:hint="cs"/>
          <w:b/>
          <w:spacing w:val="0"/>
          <w:sz w:val="22"/>
          <w:szCs w:val="24"/>
          <w:rtl/>
        </w:rPr>
        <w:t xml:space="preserve"> ו</w:t>
      </w:r>
      <w:r w:rsidRPr="008A30F8">
        <w:rPr>
          <w:rFonts w:ascii="Century" w:hAnsi="Century" w:cs="Miriam" w:hint="cs"/>
          <w:b/>
          <w:spacing w:val="0"/>
          <w:sz w:val="22"/>
          <w:szCs w:val="24"/>
          <w:rtl/>
        </w:rPr>
        <w:t xml:space="preserve">המניע </w:t>
      </w:r>
      <w:r w:rsidRPr="008A30F8">
        <w:rPr>
          <w:rFonts w:ascii="Century" w:hAnsi="Century" w:cs="Miriam" w:hint="cs"/>
          <w:b/>
          <w:spacing w:val="0"/>
          <w:sz w:val="22"/>
          <w:szCs w:val="24"/>
          <w:rtl/>
        </w:rPr>
        <w:lastRenderedPageBreak/>
        <w:t>העיקרי שמאחוריו הופכים את החוק לחוק פרסונלי שהכנסת אינה מוסמכת לחוקק"</w:t>
      </w:r>
      <w:r>
        <w:rPr>
          <w:rFonts w:hint="cs"/>
          <w:rtl/>
        </w:rPr>
        <w:t xml:space="preserve"> (פסקה 53). על מנת לתקן את המעוות, תוך התערבות מזערית בעבודת המחוקק, סבור חברי כי יש להורות על דחיית תחולתו של תיקון 53 (פסקה 5). נימוקיו של חברי, משתלשלים אפוא ישירות ממגילת העצמאות, שתוכנה מגביל, לשיטתו, את היקף סמכותה של הכנסת; נגזרים ממושג 'השוויון הגמור' המצויין במגילת העצמאות; עוברים דרך סוגיית מעמדו ונפקותו של חוק פרסונלי; ונחתמים בקביעה כי תיקון 53 נתקן, למעשה, בחוסר סמכות.</w:t>
      </w:r>
    </w:p>
    <w:p w:rsidR="00C413FD" w:rsidRDefault="00C413FD" w:rsidP="00C413FD">
      <w:pPr>
        <w:pStyle w:val="Ruller41"/>
        <w:spacing w:line="240" w:lineRule="auto"/>
        <w:rPr>
          <w:rtl/>
        </w:rPr>
      </w:pPr>
    </w:p>
    <w:p w:rsidR="00C413FD" w:rsidRDefault="00C413FD" w:rsidP="00C413FD">
      <w:pPr>
        <w:pStyle w:val="Ruller41"/>
        <w:rPr>
          <w:rtl/>
        </w:rPr>
      </w:pPr>
      <w:r>
        <w:rPr>
          <w:rFonts w:hint="cs"/>
          <w:rtl/>
        </w:rPr>
        <w:t>37</w:t>
      </w:r>
      <w:r>
        <w:rPr>
          <w:rFonts w:ascii="Century" w:hAnsi="Century" w:cs="Miriam" w:hint="cs"/>
          <w:b/>
          <w:spacing w:val="0"/>
          <w:szCs w:val="24"/>
          <w:rtl/>
        </w:rPr>
        <w:t xml:space="preserve">.   </w:t>
      </w:r>
      <w:r>
        <w:rPr>
          <w:rFonts w:hint="cs"/>
          <w:rtl/>
        </w:rPr>
        <w:t xml:space="preserve">גישתו של חברי חדשנית, אף מהפכנית, ביוֹשרתו הוא מכיר בכך, והיא ראויה למחשבה מעמיקה, אך גם לתהייה רבתי. ברם, משלא טענו לפנינו בעלי-הדין בהסתמך על מגילת העצמאות, לא אעשה כן גם אני, זולת הערות אחדות. נידרש למגילת העצמאות, לפי הצורך, בבוא העת, בפסק הדין בבג"ץ 5658/23 </w:t>
      </w:r>
      <w:r w:rsidRPr="00197980">
        <w:rPr>
          <w:rFonts w:ascii="Century" w:hAnsi="Century" w:cs="Miriam" w:hint="cs"/>
          <w:b/>
          <w:spacing w:val="0"/>
          <w:szCs w:val="24"/>
          <w:rtl/>
        </w:rPr>
        <w:t>התנועה למען איכות השלטון בישראל ואח' נ' הכנסת ואח'</w:t>
      </w:r>
      <w:r>
        <w:rPr>
          <w:rFonts w:hint="cs"/>
          <w:rtl/>
        </w:rPr>
        <w:t xml:space="preserve"> </w:t>
      </w:r>
      <w:r>
        <w:rPr>
          <w:rtl/>
        </w:rPr>
        <w:t>–</w:t>
      </w:r>
      <w:r>
        <w:rPr>
          <w:rFonts w:hint="cs"/>
          <w:rtl/>
        </w:rPr>
        <w:t xml:space="preserve"> שם התבססו עליה בעלי-הדין בטיעוניהם </w:t>
      </w:r>
      <w:r>
        <w:rPr>
          <w:rtl/>
        </w:rPr>
        <w:t>–</w:t>
      </w:r>
      <w:r>
        <w:rPr>
          <w:rFonts w:hint="cs"/>
          <w:rtl/>
        </w:rPr>
        <w:t xml:space="preserve">   לכשיינתן. </w:t>
      </w:r>
    </w:p>
    <w:p w:rsidR="00C413FD" w:rsidRDefault="00C413FD" w:rsidP="00C413FD">
      <w:pPr>
        <w:pStyle w:val="Ruller41"/>
        <w:spacing w:line="240" w:lineRule="auto"/>
        <w:rPr>
          <w:rtl/>
        </w:rPr>
      </w:pPr>
    </w:p>
    <w:p w:rsidR="00C413FD" w:rsidRDefault="00C413FD" w:rsidP="00C413FD">
      <w:pPr>
        <w:pStyle w:val="Ruller41"/>
        <w:rPr>
          <w:rtl/>
        </w:rPr>
      </w:pPr>
      <w:r>
        <w:rPr>
          <w:rFonts w:hint="cs"/>
          <w:rtl/>
        </w:rPr>
        <w:t>38.</w:t>
      </w:r>
      <w:r>
        <w:rPr>
          <w:rFonts w:hint="cs"/>
          <w:rtl/>
        </w:rPr>
        <w:tab/>
        <w:t xml:space="preserve">קביעתו של חברי, כאמור, כי </w:t>
      </w:r>
      <w:r w:rsidRPr="00EE3C0E">
        <w:rPr>
          <w:rFonts w:ascii="Century" w:hAnsi="Century" w:cs="Miriam" w:hint="cs"/>
          <w:b/>
          <w:spacing w:val="0"/>
          <w:szCs w:val="24"/>
          <w:rtl/>
        </w:rPr>
        <w:t>"חוקי הכנסת לעולם כפופים לגבולותיה של סמכות החקיקה הכללית אשר נקבעה בהכרזת העצמאות"</w:t>
      </w:r>
      <w:r>
        <w:rPr>
          <w:rFonts w:hint="cs"/>
          <w:rtl/>
        </w:rPr>
        <w:t xml:space="preserve"> (פסקה 17), מעוררת שורה של קשיים חמוּרים, במישור הפרשני, ההיסטורי, העיוני והמעשי. כך למשל, כיצד מתיישבת קביעתו עם הוראת ההכרזה עצמה, על כינון חוקה עתידית שתיקבע על-ידי אסיפה מכוננת נבחרת? האמנם קביעתו עולה בקנה אחד עם האופן שבו חותמי מגילת העצמאות תפסו את תפקידם וראו את פועלם? מי יגלה עפר מעיניו של דוד בן גוריון? האם אין חשש מפני שיכתוב ההיסטוריה של הכרזת העצמאות, הליכי חיבורה, ניסוחה וחתימתה? ומה באשר לטיבה של מועצת המדינה הזמנית כגוף שעיקרו לא יצוגי ולא נבחר? האם משמעות קביעתו של חברי היא שלעינינו, קמה וגם ניצבה, סדרה של 'הוראות נצחיוּת', שאין המכונן ולא המחוקק הישראלי יכולים לשנותן עוד מעתה ועד עולם? האם גישתו של חברי, יכולה להלום את ההיסטוריה החוקתית שלנו, לרבות פסיקתו של בית משפט זה ושל מחוקקי-ישראל ב-75 שנות קיומה של המדינה? ואף אם לשיטתו חל שיבוש מיום שנחתמה מגילת העצמאות, מאז ועד היום, לא נכון יהיה להחיל את הכלל התלמודי </w:t>
      </w:r>
      <w:r w:rsidRPr="006B1435">
        <w:rPr>
          <w:rFonts w:ascii="Century" w:hAnsi="Century" w:cs="Miriam" w:hint="cs"/>
          <w:b/>
          <w:spacing w:val="0"/>
          <w:szCs w:val="24"/>
          <w:rtl/>
        </w:rPr>
        <w:t>"שַׁבֶּשְׁתָּא כֵּיוָן דְּעַל עַל"</w:t>
      </w:r>
      <w:r>
        <w:rPr>
          <w:rFonts w:hint="cs"/>
          <w:rtl/>
        </w:rPr>
        <w:t xml:space="preserve"> (בבלי, בבא בתרא כא, א)? מהן ההשלכות במישור המשפט הבינלאומי? האם לא ראוי לשינוי סדרי בראשית, להעשות בכנסת ולא בבית משפט?</w:t>
      </w:r>
    </w:p>
    <w:p w:rsidR="00C413FD" w:rsidRDefault="00C413FD" w:rsidP="00C413FD">
      <w:pPr>
        <w:pStyle w:val="Ruller41"/>
        <w:spacing w:line="240" w:lineRule="auto"/>
        <w:rPr>
          <w:rtl/>
        </w:rPr>
      </w:pPr>
    </w:p>
    <w:p w:rsidR="00C413FD" w:rsidRDefault="00C413FD" w:rsidP="00C413FD">
      <w:pPr>
        <w:pStyle w:val="Ruller41"/>
      </w:pPr>
      <w:r>
        <w:rPr>
          <w:rFonts w:hint="cs"/>
          <w:rtl/>
        </w:rPr>
        <w:t>39.</w:t>
      </w:r>
      <w:r>
        <w:rPr>
          <w:rFonts w:hint="cs"/>
          <w:rtl/>
        </w:rPr>
        <w:tab/>
        <w:t>דוגמה להמחשת החשש מפני אי-יציבות וחוסר ודאות: חברי מפנה לאמוּר בהכרזת העצמאות על כך ש</w:t>
      </w:r>
      <w:r w:rsidRPr="00F8718D">
        <w:rPr>
          <w:rFonts w:ascii="Century" w:hAnsi="Century" w:cs="Miriam" w:hint="cs"/>
          <w:b/>
          <w:spacing w:val="0"/>
          <w:szCs w:val="24"/>
          <w:rtl/>
        </w:rPr>
        <w:t>"מדינת</w:t>
      </w:r>
      <w:r w:rsidRPr="004C69F4">
        <w:rPr>
          <w:rFonts w:hint="cs"/>
          <w:rtl/>
        </w:rPr>
        <w:t xml:space="preserve"> </w:t>
      </w:r>
      <w:r w:rsidRPr="00F8718D">
        <w:rPr>
          <w:rFonts w:ascii="Century" w:hAnsi="Century" w:cs="Miriam" w:hint="cs"/>
          <w:b/>
          <w:spacing w:val="0"/>
          <w:szCs w:val="24"/>
          <w:rtl/>
        </w:rPr>
        <w:t>ישראל</w:t>
      </w:r>
      <w:r w:rsidRPr="004C69F4">
        <w:rPr>
          <w:rFonts w:hint="cs"/>
          <w:rtl/>
        </w:rPr>
        <w:t xml:space="preserve"> </w:t>
      </w:r>
      <w:r w:rsidRPr="00F8718D">
        <w:rPr>
          <w:rFonts w:ascii="Century" w:hAnsi="Century" w:cs="Miriam" w:hint="cs"/>
          <w:b/>
          <w:spacing w:val="0"/>
          <w:szCs w:val="24"/>
          <w:rtl/>
        </w:rPr>
        <w:t>...</w:t>
      </w:r>
      <w:r w:rsidRPr="004C69F4">
        <w:rPr>
          <w:rFonts w:hint="cs"/>
          <w:rtl/>
        </w:rPr>
        <w:t xml:space="preserve"> </w:t>
      </w:r>
      <w:r w:rsidRPr="001748D7">
        <w:rPr>
          <w:rFonts w:ascii="Century" w:hAnsi="Century" w:cs="Miriam" w:hint="eastAsia"/>
          <w:b/>
          <w:spacing w:val="0"/>
          <w:szCs w:val="24"/>
          <w:rtl/>
        </w:rPr>
        <w:t>תקיים</w:t>
      </w:r>
      <w:r w:rsidRPr="001748D7">
        <w:rPr>
          <w:rFonts w:ascii="Century" w:hAnsi="Century" w:cs="Miriam"/>
          <w:b/>
          <w:spacing w:val="0"/>
          <w:szCs w:val="24"/>
          <w:rtl/>
        </w:rPr>
        <w:t xml:space="preserve"> </w:t>
      </w:r>
      <w:r w:rsidRPr="001748D7">
        <w:rPr>
          <w:rFonts w:ascii="Century" w:hAnsi="Century" w:cs="Miriam" w:hint="eastAsia"/>
          <w:b/>
          <w:spacing w:val="0"/>
          <w:szCs w:val="24"/>
          <w:rtl/>
        </w:rPr>
        <w:t>שו</w:t>
      </w:r>
      <w:r w:rsidRPr="001748D7">
        <w:rPr>
          <w:rFonts w:ascii="Century" w:hAnsi="Century" w:cs="Miriam" w:hint="cs"/>
          <w:b/>
          <w:spacing w:val="0"/>
          <w:szCs w:val="24"/>
          <w:rtl/>
        </w:rPr>
        <w:t>ו</w:t>
      </w:r>
      <w:r w:rsidRPr="001748D7">
        <w:rPr>
          <w:rFonts w:ascii="Century" w:hAnsi="Century" w:cs="Miriam" w:hint="eastAsia"/>
          <w:b/>
          <w:spacing w:val="0"/>
          <w:szCs w:val="24"/>
          <w:rtl/>
        </w:rPr>
        <w:t>יון</w:t>
      </w:r>
      <w:r w:rsidRPr="001748D7">
        <w:rPr>
          <w:rFonts w:ascii="Century" w:hAnsi="Century" w:cs="Miriam"/>
          <w:b/>
          <w:spacing w:val="0"/>
          <w:szCs w:val="24"/>
          <w:rtl/>
        </w:rPr>
        <w:t xml:space="preserve"> </w:t>
      </w:r>
      <w:r w:rsidRPr="001748D7">
        <w:rPr>
          <w:rFonts w:ascii="Century" w:hAnsi="Century" w:cs="Miriam" w:hint="eastAsia"/>
          <w:b/>
          <w:spacing w:val="0"/>
          <w:szCs w:val="24"/>
          <w:rtl/>
        </w:rPr>
        <w:t>זכויו</w:t>
      </w:r>
      <w:r w:rsidRPr="001748D7">
        <w:rPr>
          <w:rFonts w:ascii="Century" w:hAnsi="Century" w:cs="Miriam" w:hint="cs"/>
          <w:b/>
          <w:spacing w:val="0"/>
          <w:szCs w:val="24"/>
          <w:rtl/>
        </w:rPr>
        <w:t>​ת</w:t>
      </w:r>
      <w:r w:rsidRPr="001748D7">
        <w:rPr>
          <w:rFonts w:ascii="Century" w:hAnsi="Century" w:cs="Miriam"/>
          <w:b/>
          <w:spacing w:val="0"/>
          <w:szCs w:val="24"/>
          <w:rtl/>
        </w:rPr>
        <w:t xml:space="preserve"> </w:t>
      </w:r>
      <w:r w:rsidRPr="001748D7">
        <w:rPr>
          <w:rFonts w:ascii="Century" w:hAnsi="Century" w:cs="Miriam" w:hint="eastAsia"/>
          <w:b/>
          <w:spacing w:val="0"/>
          <w:szCs w:val="24"/>
          <w:rtl/>
        </w:rPr>
        <w:t>חברתי</w:t>
      </w:r>
      <w:r w:rsidRPr="001748D7">
        <w:rPr>
          <w:rFonts w:ascii="Century" w:hAnsi="Century" w:cs="Miriam"/>
          <w:b/>
          <w:spacing w:val="0"/>
          <w:szCs w:val="24"/>
          <w:rtl/>
        </w:rPr>
        <w:t xml:space="preserve"> </w:t>
      </w:r>
      <w:r w:rsidRPr="001748D7">
        <w:rPr>
          <w:rFonts w:ascii="Century" w:hAnsi="Century" w:cs="Miriam" w:hint="eastAsia"/>
          <w:b/>
          <w:spacing w:val="0"/>
          <w:szCs w:val="24"/>
          <w:rtl/>
        </w:rPr>
        <w:t>ומדיני</w:t>
      </w:r>
      <w:r w:rsidRPr="001748D7">
        <w:rPr>
          <w:rFonts w:ascii="Century" w:hAnsi="Century" w:cs="Miriam"/>
          <w:b/>
          <w:spacing w:val="0"/>
          <w:szCs w:val="24"/>
          <w:rtl/>
        </w:rPr>
        <w:t xml:space="preserve"> </w:t>
      </w:r>
      <w:r w:rsidRPr="001748D7">
        <w:rPr>
          <w:rFonts w:ascii="Century" w:hAnsi="Century" w:cs="Miriam" w:hint="eastAsia"/>
          <w:b/>
          <w:spacing w:val="0"/>
          <w:szCs w:val="24"/>
          <w:rtl/>
        </w:rPr>
        <w:t>גמור</w:t>
      </w:r>
      <w:r w:rsidRPr="001748D7">
        <w:rPr>
          <w:rFonts w:ascii="Century" w:hAnsi="Century" w:cs="Miriam"/>
          <w:b/>
          <w:spacing w:val="0"/>
          <w:szCs w:val="24"/>
          <w:rtl/>
        </w:rPr>
        <w:t xml:space="preserve"> </w:t>
      </w:r>
      <w:r w:rsidRPr="001748D7">
        <w:rPr>
          <w:rFonts w:ascii="Century" w:hAnsi="Century" w:cs="Miriam" w:hint="eastAsia"/>
          <w:b/>
          <w:spacing w:val="0"/>
          <w:szCs w:val="24"/>
          <w:rtl/>
        </w:rPr>
        <w:t>לכל</w:t>
      </w:r>
      <w:r w:rsidRPr="001748D7">
        <w:rPr>
          <w:rFonts w:ascii="Century" w:hAnsi="Century" w:cs="Miriam"/>
          <w:b/>
          <w:spacing w:val="0"/>
          <w:szCs w:val="24"/>
          <w:rtl/>
        </w:rPr>
        <w:t xml:space="preserve"> </w:t>
      </w:r>
      <w:r w:rsidRPr="001748D7">
        <w:rPr>
          <w:rFonts w:ascii="Century" w:hAnsi="Century" w:cs="Miriam" w:hint="eastAsia"/>
          <w:b/>
          <w:spacing w:val="0"/>
          <w:szCs w:val="24"/>
          <w:rtl/>
        </w:rPr>
        <w:t>אזרחיה</w:t>
      </w:r>
      <w:r w:rsidRPr="001748D7">
        <w:rPr>
          <w:rFonts w:ascii="Century" w:hAnsi="Century" w:cs="Miriam" w:hint="cs"/>
          <w:b/>
          <w:spacing w:val="0"/>
          <w:szCs w:val="24"/>
          <w:rtl/>
        </w:rPr>
        <w:t>"</w:t>
      </w:r>
      <w:r w:rsidRPr="004C69F4">
        <w:rPr>
          <w:rFonts w:hint="cs"/>
          <w:rtl/>
        </w:rPr>
        <w:t xml:space="preserve">, וממילותיה אלה מסיק, כי </w:t>
      </w:r>
      <w:r w:rsidRPr="001748D7">
        <w:rPr>
          <w:rFonts w:ascii="Century" w:hAnsi="Century" w:cs="Miriam" w:hint="cs"/>
          <w:b/>
          <w:spacing w:val="0"/>
          <w:szCs w:val="24"/>
          <w:rtl/>
        </w:rPr>
        <w:t xml:space="preserve">"הכנסת מוסמכת לחוקק כל חוק שעולה בקנה אחד עם אחת התפישות המקובלות של שוויון [...] ברם, כאשר הכנסת מחוקקת חוק שמנוגד לכל אחת </w:t>
      </w:r>
      <w:r w:rsidRPr="001748D7">
        <w:rPr>
          <w:rFonts w:ascii="Century" w:hAnsi="Century" w:cs="Miriam" w:hint="cs"/>
          <w:b/>
          <w:spacing w:val="0"/>
          <w:szCs w:val="24"/>
          <w:rtl/>
        </w:rPr>
        <w:lastRenderedPageBreak/>
        <w:t>ואחת מתפישות השוויון הקיימות והמקובלות, יהא בכך משום הפרה של דרישת השוויון שנקבעה בהכרזת העצמאות [...] חקיקתו של חוק כזה תהא בגדר חריגה ברורה ומוכחת מסמכות החקיקה של הכנסת (</w:t>
      </w:r>
      <w:r w:rsidRPr="001748D7">
        <w:rPr>
          <w:rFonts w:ascii="Century" w:hAnsi="Century" w:cs="Miriam"/>
          <w:bCs/>
          <w:spacing w:val="0"/>
          <w:sz w:val="24"/>
          <w:szCs w:val="26"/>
        </w:rPr>
        <w:t>ultra</w:t>
      </w:r>
      <w:r w:rsidRPr="001748D7">
        <w:rPr>
          <w:rFonts w:ascii="Century" w:hAnsi="Century" w:cs="Miriam"/>
          <w:b/>
          <w:spacing w:val="0"/>
          <w:szCs w:val="24"/>
        </w:rPr>
        <w:t xml:space="preserve"> </w:t>
      </w:r>
      <w:r w:rsidRPr="001748D7">
        <w:rPr>
          <w:rFonts w:ascii="Century" w:hAnsi="Century" w:cs="Miriam"/>
          <w:bCs/>
          <w:spacing w:val="0"/>
          <w:sz w:val="24"/>
          <w:szCs w:val="26"/>
        </w:rPr>
        <w:t>vires</w:t>
      </w:r>
      <w:r w:rsidRPr="001748D7">
        <w:rPr>
          <w:rFonts w:ascii="Century" w:hAnsi="Century" w:cs="Miriam" w:hint="cs"/>
          <w:b/>
          <w:spacing w:val="0"/>
          <w:szCs w:val="24"/>
          <w:rtl/>
        </w:rPr>
        <w:t xml:space="preserve">) </w:t>
      </w:r>
      <w:r w:rsidRPr="001748D7">
        <w:rPr>
          <w:rFonts w:ascii="Century" w:hAnsi="Century" w:cs="Miriam"/>
          <w:b/>
          <w:spacing w:val="0"/>
          <w:szCs w:val="24"/>
          <w:rtl/>
        </w:rPr>
        <w:t>–</w:t>
      </w:r>
      <w:r w:rsidRPr="001748D7">
        <w:rPr>
          <w:rFonts w:ascii="Century" w:hAnsi="Century" w:cs="Miriam" w:hint="cs"/>
          <w:b/>
          <w:spacing w:val="0"/>
          <w:szCs w:val="24"/>
          <w:rtl/>
        </w:rPr>
        <w:t xml:space="preserve"> פגם אשר גוזר על החוק בטלות מדעיקרא. חקיקתו של כל חוק כזה הופכת את הקערה על-פיה באשר היא מחוללת שינוי ביסודות משפטנו ובאופייה של מדינת בישראל כמדינה שוחרת שוויון. כפועל יוצא מכך, נהיה חייבים לומר, בנוגע לחוקים כאלה, כי מקומם לא יכירנו בספרי החוקים של מדינתנו ולהורות על בטלותם"</w:t>
      </w:r>
      <w:r>
        <w:rPr>
          <w:rFonts w:hint="cs"/>
          <w:rtl/>
        </w:rPr>
        <w:t xml:space="preserve">. כך העלה חברי, באחת, את הזכות לשוויון, לדרגה חוקתית, או שמא על-חוקתית, כזו שהכנסת אינה רשאית לגרוע ממנה כמלוא נימה. זאת, תוך פסיחה על קורפוס פסיקה עשיר, אשר דן במקומה של הזכות לשוויון במשפטנו החוקתי. קולמוסים רבים נשתברו בשאלה מורכבת זו; שופטים ומלומדים דשו בה. אזכיר בתמצית, כי הגישה המקובלת היא שלשוויון אין במשפטנו מעמד חוקתי עצמאי; השוויון נגזר מכבוד האדם (ראו: </w:t>
      </w:r>
      <w:r w:rsidRPr="004C69F4">
        <w:rPr>
          <w:rFonts w:hint="eastAsia"/>
          <w:rtl/>
        </w:rPr>
        <w:t>בג</w:t>
      </w:r>
      <w:r w:rsidRPr="004C69F4">
        <w:rPr>
          <w:rtl/>
        </w:rPr>
        <w:t>"</w:t>
      </w:r>
      <w:r w:rsidRPr="004C69F4">
        <w:rPr>
          <w:rFonts w:hint="eastAsia"/>
          <w:rtl/>
        </w:rPr>
        <w:t>ץ</w:t>
      </w:r>
      <w:r w:rsidRPr="004C69F4">
        <w:rPr>
          <w:rtl/>
        </w:rPr>
        <w:t xml:space="preserve"> 3390/16</w:t>
      </w:r>
      <w:r w:rsidRPr="004C69F4">
        <w:rPr>
          <w:szCs w:val="22"/>
          <w:rtl/>
        </w:rPr>
        <w:t xml:space="preserve"> </w:t>
      </w:r>
      <w:r w:rsidRPr="00DB2B02">
        <w:rPr>
          <w:rFonts w:ascii="Century" w:hAnsi="Century" w:cs="Miriam" w:hint="eastAsia"/>
          <w:b/>
          <w:spacing w:val="0"/>
          <w:szCs w:val="24"/>
          <w:rtl/>
        </w:rPr>
        <w:t>עדאלה</w:t>
      </w:r>
      <w:r w:rsidRPr="00DB2B02">
        <w:rPr>
          <w:rFonts w:ascii="Century" w:hAnsi="Century" w:cs="Miriam"/>
          <w:b/>
          <w:spacing w:val="0"/>
          <w:szCs w:val="24"/>
          <w:rtl/>
        </w:rPr>
        <w:t xml:space="preserve"> – </w:t>
      </w:r>
      <w:r w:rsidRPr="00DB2B02">
        <w:rPr>
          <w:rFonts w:ascii="Century" w:hAnsi="Century" w:cs="Miriam" w:hint="eastAsia"/>
          <w:b/>
          <w:spacing w:val="0"/>
          <w:szCs w:val="24"/>
          <w:rtl/>
        </w:rPr>
        <w:t>המרכז</w:t>
      </w:r>
      <w:r w:rsidRPr="00DB2B02">
        <w:rPr>
          <w:rFonts w:ascii="Century" w:hAnsi="Century" w:cs="Miriam"/>
          <w:b/>
          <w:spacing w:val="0"/>
          <w:szCs w:val="24"/>
          <w:rtl/>
        </w:rPr>
        <w:t xml:space="preserve"> </w:t>
      </w:r>
      <w:r w:rsidRPr="00DB2B02">
        <w:rPr>
          <w:rFonts w:ascii="Century" w:hAnsi="Century" w:cs="Miriam" w:hint="eastAsia"/>
          <w:b/>
          <w:spacing w:val="0"/>
          <w:szCs w:val="24"/>
          <w:rtl/>
        </w:rPr>
        <w:t>המשפטי</w:t>
      </w:r>
      <w:r w:rsidRPr="00DB2B02">
        <w:rPr>
          <w:rFonts w:ascii="Century" w:hAnsi="Century" w:cs="Miriam"/>
          <w:b/>
          <w:spacing w:val="0"/>
          <w:szCs w:val="24"/>
          <w:rtl/>
        </w:rPr>
        <w:t xml:space="preserve"> </w:t>
      </w:r>
      <w:r w:rsidRPr="00DB2B02">
        <w:rPr>
          <w:rFonts w:ascii="Century" w:hAnsi="Century" w:cs="Miriam" w:hint="eastAsia"/>
          <w:b/>
          <w:spacing w:val="0"/>
          <w:szCs w:val="24"/>
          <w:rtl/>
        </w:rPr>
        <w:t>לזכויות</w:t>
      </w:r>
      <w:r w:rsidRPr="00DB2B02">
        <w:rPr>
          <w:rFonts w:ascii="Century" w:hAnsi="Century" w:cs="Miriam"/>
          <w:b/>
          <w:spacing w:val="0"/>
          <w:szCs w:val="24"/>
          <w:rtl/>
        </w:rPr>
        <w:t xml:space="preserve"> </w:t>
      </w:r>
      <w:r w:rsidRPr="00DB2B02">
        <w:rPr>
          <w:rFonts w:ascii="Century" w:hAnsi="Century" w:cs="Miriam" w:hint="eastAsia"/>
          <w:b/>
          <w:spacing w:val="0"/>
          <w:szCs w:val="24"/>
          <w:rtl/>
        </w:rPr>
        <w:t>המיעוט</w:t>
      </w:r>
      <w:r w:rsidRPr="00DB2B02">
        <w:rPr>
          <w:rFonts w:ascii="Century" w:hAnsi="Century" w:cs="Miriam"/>
          <w:b/>
          <w:spacing w:val="0"/>
          <w:szCs w:val="24"/>
          <w:rtl/>
        </w:rPr>
        <w:t xml:space="preserve"> </w:t>
      </w:r>
      <w:r w:rsidRPr="00DB2B02">
        <w:rPr>
          <w:rFonts w:ascii="Century" w:hAnsi="Century" w:cs="Miriam" w:hint="eastAsia"/>
          <w:b/>
          <w:spacing w:val="0"/>
          <w:szCs w:val="24"/>
          <w:rtl/>
        </w:rPr>
        <w:t>נ</w:t>
      </w:r>
      <w:r w:rsidRPr="00DB2B02">
        <w:rPr>
          <w:rFonts w:ascii="Century" w:hAnsi="Century" w:cs="Miriam"/>
          <w:b/>
          <w:spacing w:val="0"/>
          <w:szCs w:val="24"/>
          <w:rtl/>
        </w:rPr>
        <w:t xml:space="preserve">' </w:t>
      </w:r>
      <w:r w:rsidRPr="00DB2B02">
        <w:rPr>
          <w:rFonts w:ascii="Century" w:hAnsi="Century" w:cs="Miriam" w:hint="eastAsia"/>
          <w:b/>
          <w:spacing w:val="0"/>
          <w:szCs w:val="24"/>
          <w:rtl/>
        </w:rPr>
        <w:t>הכנסת</w:t>
      </w:r>
      <w:r w:rsidRPr="00DB2B02">
        <w:rPr>
          <w:rFonts w:hint="cs"/>
          <w:rtl/>
        </w:rPr>
        <w:t xml:space="preserve"> </w:t>
      </w:r>
      <w:r>
        <w:rPr>
          <w:rFonts w:hint="cs"/>
          <w:rtl/>
        </w:rPr>
        <w:t>94-87</w:t>
      </w:r>
      <w:r w:rsidRPr="004C69F4">
        <w:rPr>
          <w:rFonts w:hint="cs"/>
          <w:rtl/>
        </w:rPr>
        <w:t xml:space="preserve"> </w:t>
      </w:r>
      <w:r w:rsidRPr="004C69F4">
        <w:rPr>
          <w:rtl/>
        </w:rPr>
        <w:t>(8.7.2021)</w:t>
      </w:r>
      <w:r>
        <w:rPr>
          <w:rFonts w:hint="cs"/>
          <w:rtl/>
        </w:rPr>
        <w:t xml:space="preserve">; בג"ץ 1877/14 </w:t>
      </w:r>
      <w:r w:rsidRPr="00DB2B02">
        <w:rPr>
          <w:rFonts w:ascii="Century" w:hAnsi="Century" w:cs="Miriam" w:hint="cs"/>
          <w:b/>
          <w:spacing w:val="0"/>
          <w:szCs w:val="24"/>
          <w:rtl/>
        </w:rPr>
        <w:t>התנועה למען איכות השלטון נ' הכנסת</w:t>
      </w:r>
      <w:r>
        <w:rPr>
          <w:rFonts w:hint="cs"/>
          <w:rtl/>
        </w:rPr>
        <w:t xml:space="preserve">, פסקה 42 לחוות דעתי (12.9.2017); דפנה ברק ארז </w:t>
      </w:r>
      <w:r w:rsidRPr="00DB2B02">
        <w:rPr>
          <w:rFonts w:ascii="Century" w:hAnsi="Century" w:cs="Miriam" w:hint="cs"/>
          <w:b/>
          <w:spacing w:val="0"/>
          <w:szCs w:val="24"/>
          <w:rtl/>
        </w:rPr>
        <w:t xml:space="preserve">משפט מינהלי </w:t>
      </w:r>
      <w:r w:rsidRPr="00DB2B02">
        <w:rPr>
          <w:rFonts w:ascii="Century" w:hAnsi="Century" w:cs="Miriam"/>
          <w:b/>
          <w:spacing w:val="0"/>
          <w:szCs w:val="24"/>
          <w:rtl/>
        </w:rPr>
        <w:t>–</w:t>
      </w:r>
      <w:r w:rsidRPr="00DB2B02">
        <w:rPr>
          <w:rFonts w:ascii="Century" w:hAnsi="Century" w:cs="Miriam" w:hint="cs"/>
          <w:b/>
          <w:spacing w:val="0"/>
          <w:szCs w:val="24"/>
          <w:rtl/>
        </w:rPr>
        <w:t xml:space="preserve"> כרך ב</w:t>
      </w:r>
      <w:r>
        <w:rPr>
          <w:rFonts w:hint="cs"/>
          <w:rtl/>
        </w:rPr>
        <w:t xml:space="preserve">, 679-678 (2010)). לאחרונה ציינתי, כי עניינו העיקרי של השוויון החוקתי, הוא בשאלה אם מתקיימת הפליה על רקע תבחין 'חשוד', כלומר </w:t>
      </w:r>
      <w:r w:rsidRPr="00DB2B02">
        <w:rPr>
          <w:rFonts w:ascii="Century" w:hAnsi="Century" w:cs="Miriam" w:hint="cs"/>
          <w:b/>
          <w:spacing w:val="0"/>
          <w:szCs w:val="24"/>
          <w:rtl/>
        </w:rPr>
        <w:t>"</w:t>
      </w:r>
      <w:r w:rsidRPr="00DB2B02">
        <w:rPr>
          <w:rFonts w:ascii="Century" w:hAnsi="Century" w:cs="Miriam"/>
          <w:b/>
          <w:spacing w:val="0"/>
          <w:szCs w:val="24"/>
          <w:rtl/>
        </w:rPr>
        <w:t>הבחנה בין בני אדם על יסוד השתייכותם לקבוצה חברתית מכוננת-זהות</w:t>
      </w:r>
      <w:r w:rsidRPr="00DB2B02">
        <w:rPr>
          <w:rFonts w:ascii="Century" w:hAnsi="Century" w:cs="Miriam" w:hint="cs"/>
          <w:b/>
          <w:spacing w:val="0"/>
          <w:szCs w:val="24"/>
          <w:rtl/>
        </w:rPr>
        <w:t>"</w:t>
      </w:r>
      <w:r w:rsidRPr="00DB2B02">
        <w:rPr>
          <w:rFonts w:ascii="FrankRuehl" w:hAnsi="FrankRuehl" w:hint="cs"/>
          <w:color w:val="000000"/>
          <w:sz w:val="28"/>
          <w:rtl/>
        </w:rPr>
        <w:t xml:space="preserve"> </w:t>
      </w:r>
      <w:r w:rsidRPr="00326C3A">
        <w:rPr>
          <w:rFonts w:hint="cs"/>
          <w:rtl/>
        </w:rPr>
        <w:t xml:space="preserve">כגון השתייכות לקבוצה דתית, לאומית או מגדרית (בג"ץ 7952/21 </w:t>
      </w:r>
      <w:r w:rsidRPr="001748D7">
        <w:rPr>
          <w:rFonts w:ascii="Century" w:hAnsi="Century" w:cs="Miriam" w:hint="cs"/>
          <w:b/>
          <w:spacing w:val="0"/>
          <w:szCs w:val="24"/>
          <w:rtl/>
        </w:rPr>
        <w:t>גרינבלט נ' השרה להגנת הסביבה</w:t>
      </w:r>
      <w:r w:rsidRPr="00326C3A">
        <w:rPr>
          <w:rFonts w:hint="cs"/>
          <w:rtl/>
        </w:rPr>
        <w:t xml:space="preserve">, פסקה 29 לפסק דיני (24.7.2023)). </w:t>
      </w:r>
      <w:r>
        <w:rPr>
          <w:rFonts w:hint="cs"/>
          <w:rtl/>
        </w:rPr>
        <w:t xml:space="preserve">ואולם בהתאם לגישה שבחוות דעתו של חברי, טִרחה זו על שום מה? הבניין </w:t>
      </w:r>
      <w:r w:rsidRPr="004C69F4">
        <w:rPr>
          <w:rFonts w:hint="cs"/>
          <w:rtl/>
        </w:rPr>
        <w:t xml:space="preserve">החוקתי שבפסיקתנו, הגוזר את הזכות לשוויון מחוק יסוד: כבוד האדם וחירותו </w:t>
      </w:r>
      <w:r w:rsidRPr="004C69F4">
        <w:rPr>
          <w:rtl/>
        </w:rPr>
        <w:t>–</w:t>
      </w:r>
      <w:r w:rsidRPr="004C69F4">
        <w:rPr>
          <w:rFonts w:hint="cs"/>
          <w:rtl/>
        </w:rPr>
        <w:t xml:space="preserve"> שווא עמלו </w:t>
      </w:r>
      <w:r w:rsidRPr="004C69F4">
        <w:rPr>
          <w:shd w:val="clear" w:color="auto" w:fill="FFFFFF"/>
          <w:rtl/>
        </w:rPr>
        <w:t>ב</w:t>
      </w:r>
      <w:r w:rsidRPr="004C69F4">
        <w:rPr>
          <w:rFonts w:hint="cs"/>
          <w:shd w:val="clear" w:color="auto" w:fill="FFFFFF"/>
          <w:rtl/>
        </w:rPr>
        <w:t>ּ</w:t>
      </w:r>
      <w:r w:rsidRPr="004C69F4">
        <w:rPr>
          <w:shd w:val="clear" w:color="auto" w:fill="FFFFFF"/>
          <w:rtl/>
        </w:rPr>
        <w:t>וֹנָיו</w:t>
      </w:r>
      <w:r>
        <w:rPr>
          <w:rFonts w:hint="cs"/>
          <w:rtl/>
        </w:rPr>
        <w:t xml:space="preserve"> בו; שאלות משפטיות בסוגיית השוויון, יקבלו מענה ישיר מפי הגבורה </w:t>
      </w:r>
      <w:r>
        <w:rPr>
          <w:rtl/>
        </w:rPr>
        <w:t>–</w:t>
      </w:r>
      <w:r>
        <w:rPr>
          <w:rFonts w:hint="cs"/>
          <w:rtl/>
        </w:rPr>
        <w:t xml:space="preserve"> העקרונות הגולמיים שבמגילת העצמאות. כך השוויון, וכך שורה ארוכה של עקרונות אחרים שצוינו בהכרזת העצמאות, כמו גם כאלה שמקומם נפקד. במקום אחר אמרנו: </w:t>
      </w:r>
      <w:r>
        <w:rPr>
          <w:rFonts w:ascii="Century" w:hAnsi="Century" w:cs="Miriam" w:hint="cs"/>
          <w:b/>
          <w:spacing w:val="0"/>
          <w:szCs w:val="24"/>
          <w:rtl/>
        </w:rPr>
        <w:t xml:space="preserve">"אילו היתה ההכרזה למקור עצמאי לזכויות אדם, היה מתייתר לכאורה הצורך להמשיך ולעגן את זכויות היסוד בחקיקה, ולא היא: עלולים להתעורר גם קשיים מעשיים ופרשניים בדבר היקף ההגנה על זכויות היסוד, והאפשרות לפגוע בהן. שכן בחוקי-היסוד על כבוד האדם וחירותו וחופש העיסוק מצויה פסקת הגבלה, מה שאין כן לגבי עקרונותיה של הכרזת העצמאות. ועוד, מתעוררות אף שאלות הנוגעות לפסקת שמירת הדינים שבחוק יסוד: כבוד האדם וחירותו" </w:t>
      </w:r>
      <w:r>
        <w:rPr>
          <w:rFonts w:hint="cs"/>
          <w:rtl/>
        </w:rPr>
        <w:t>(</w:t>
      </w:r>
      <w:r>
        <w:rPr>
          <w:rFonts w:ascii="Century" w:hAnsi="Century" w:cs="Miriam" w:hint="cs"/>
          <w:b/>
          <w:spacing w:val="0"/>
          <w:szCs w:val="24"/>
          <w:rtl/>
        </w:rPr>
        <w:t>רובינשטיין וסולברג</w:t>
      </w:r>
      <w:r>
        <w:rPr>
          <w:rFonts w:hint="cs"/>
          <w:rtl/>
        </w:rPr>
        <w:t>,                בעמ' 188-187). הכרזת העצמאות, על פני הדברים, אינה מתווה כללים, אלא עקרונות כלליים, חלקם עמומים, חלקם מופשטים. כיצד ניישׂמם, כיצד ניישב סתירה ביניהם? מה מידת היקפם והתפרשׂותם? באלו תנאים רשאים אנו להגבילם?</w:t>
      </w:r>
    </w:p>
    <w:p w:rsidR="00C413FD" w:rsidRDefault="00C413FD" w:rsidP="00C413FD">
      <w:pPr>
        <w:pStyle w:val="Ruller4"/>
        <w:numPr>
          <w:ilvl w:val="0"/>
          <w:numId w:val="0"/>
        </w:numPr>
        <w:spacing w:line="240" w:lineRule="auto"/>
      </w:pPr>
    </w:p>
    <w:p w:rsidR="00C413FD" w:rsidRDefault="00C413FD" w:rsidP="00C413FD">
      <w:pPr>
        <w:pStyle w:val="Ruller41"/>
        <w:rPr>
          <w:rtl/>
        </w:rPr>
      </w:pPr>
      <w:r>
        <w:rPr>
          <w:rFonts w:hint="cs"/>
          <w:rtl/>
        </w:rPr>
        <w:t>40.</w:t>
      </w:r>
      <w:r>
        <w:rPr>
          <w:rFonts w:hint="cs"/>
          <w:rtl/>
        </w:rPr>
        <w:tab/>
        <w:t>מגילת העצמאות הריהי ככתר מלכות על ראשנו. ברם, מסופקני אם היא צוֹפנת בּחוּבּה מאז יום ה' באייר תש"ח, את מה שחברי תולה בה היום. העליתי כמה סימני-</w:t>
      </w:r>
      <w:r>
        <w:rPr>
          <w:rFonts w:hint="cs"/>
          <w:rtl/>
        </w:rPr>
        <w:lastRenderedPageBreak/>
        <w:t xml:space="preserve">שאלה, תגובה ראשונית לגישתו המפתיעה של חברי; סימני-קריאה יבואו לאחר דיון ממצה, עיון ומחשבה. </w:t>
      </w:r>
    </w:p>
    <w:p w:rsidR="00C413FD" w:rsidRDefault="00C413FD" w:rsidP="00C413FD">
      <w:pPr>
        <w:pStyle w:val="Ruller4"/>
        <w:numPr>
          <w:ilvl w:val="0"/>
          <w:numId w:val="0"/>
        </w:numPr>
      </w:pPr>
    </w:p>
    <w:tbl>
      <w:tblPr>
        <w:bidiVisual/>
        <w:tblW w:w="8363" w:type="dxa"/>
        <w:tblLook w:val="01E0" w:firstRow="1" w:lastRow="1" w:firstColumn="1" w:lastColumn="1" w:noHBand="0" w:noVBand="0"/>
      </w:tblPr>
      <w:tblGrid>
        <w:gridCol w:w="2783"/>
        <w:gridCol w:w="2797"/>
        <w:gridCol w:w="2783"/>
      </w:tblGrid>
      <w:tr w:rsidR="00BB1321" w:rsidRPr="00267280" w:rsidTr="002A0D41">
        <w:tc>
          <w:tcPr>
            <w:tcW w:w="2783" w:type="dxa"/>
            <w:shd w:val="clear" w:color="auto" w:fill="auto"/>
          </w:tcPr>
          <w:p w:rsidR="00BB1321" w:rsidRPr="00267280" w:rsidRDefault="00BB1321" w:rsidP="002A0D41">
            <w:pPr>
              <w:pStyle w:val="Ruller41"/>
              <w:jc w:val="center"/>
              <w:rPr>
                <w:rtl/>
              </w:rPr>
            </w:pPr>
          </w:p>
        </w:tc>
        <w:tc>
          <w:tcPr>
            <w:tcW w:w="2797" w:type="dxa"/>
            <w:shd w:val="clear" w:color="auto" w:fill="auto"/>
          </w:tcPr>
          <w:p w:rsidR="00BB1321" w:rsidRPr="00267280" w:rsidRDefault="00BB1321" w:rsidP="002A0D41">
            <w:pPr>
              <w:pStyle w:val="Ruller41"/>
              <w:jc w:val="center"/>
              <w:rPr>
                <w:rtl/>
              </w:rPr>
            </w:pPr>
          </w:p>
        </w:tc>
        <w:tc>
          <w:tcPr>
            <w:tcW w:w="2783" w:type="dxa"/>
            <w:shd w:val="clear" w:color="auto" w:fill="auto"/>
          </w:tcPr>
          <w:p w:rsidR="00BB1321" w:rsidRPr="00267280" w:rsidRDefault="00BB1321" w:rsidP="002A0D41">
            <w:pPr>
              <w:pStyle w:val="Ruller41"/>
              <w:jc w:val="right"/>
              <w:rPr>
                <w:rtl/>
              </w:rPr>
            </w:pPr>
            <w:r>
              <w:rPr>
                <w:rFonts w:hint="cs"/>
                <w:rtl/>
              </w:rPr>
              <w:t>ש ו פ ט</w:t>
            </w:r>
          </w:p>
        </w:tc>
      </w:tr>
    </w:tbl>
    <w:p w:rsidR="00BB1321" w:rsidRDefault="00BB1321" w:rsidP="00E3416E">
      <w:pPr>
        <w:pStyle w:val="Ruller41"/>
        <w:rPr>
          <w:rtl/>
        </w:rPr>
      </w:pPr>
    </w:p>
    <w:p w:rsidR="00BB1321" w:rsidRPr="00D57E3F" w:rsidRDefault="00BB1321" w:rsidP="00BB1321">
      <w:pPr>
        <w:pStyle w:val="Ruller41"/>
        <w:rPr>
          <w:rFonts w:ascii="Century" w:hAnsi="Century" w:cs="Miriam"/>
          <w:b/>
          <w:spacing w:val="0"/>
          <w:szCs w:val="24"/>
          <w:rtl/>
        </w:rPr>
      </w:pPr>
      <w:r w:rsidRPr="00D57E3F">
        <w:rPr>
          <w:rFonts w:ascii="Century" w:hAnsi="Century" w:cs="Miriam" w:hint="cs"/>
          <w:b/>
          <w:spacing w:val="0"/>
          <w:szCs w:val="24"/>
          <w:u w:val="single"/>
          <w:rtl/>
        </w:rPr>
        <w:t xml:space="preserve">השופט </w:t>
      </w:r>
      <w:r>
        <w:rPr>
          <w:rFonts w:ascii="Century" w:hAnsi="Century" w:cs="Miriam" w:hint="cs"/>
          <w:b/>
          <w:spacing w:val="0"/>
          <w:szCs w:val="24"/>
          <w:u w:val="single"/>
          <w:rtl/>
        </w:rPr>
        <w:t>ד</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מינץ</w:t>
      </w:r>
      <w:r>
        <w:rPr>
          <w:rFonts w:ascii="Century" w:hAnsi="Century" w:cs="Miriam" w:hint="cs"/>
          <w:b/>
          <w:spacing w:val="0"/>
          <w:szCs w:val="24"/>
          <w:rtl/>
        </w:rPr>
        <w:t>:</w:t>
      </w:r>
    </w:p>
    <w:p w:rsidR="00BB1321" w:rsidRDefault="00BB1321" w:rsidP="00BB1321">
      <w:pPr>
        <w:pStyle w:val="Ruller41"/>
        <w:rPr>
          <w:rtl/>
        </w:rPr>
      </w:pPr>
    </w:p>
    <w:p w:rsidR="00002C55" w:rsidRDefault="00002C55" w:rsidP="00002C55">
      <w:pPr>
        <w:pStyle w:val="Ruller41"/>
        <w:rPr>
          <w:rFonts w:ascii="Century" w:hAnsi="Century"/>
          <w:rtl/>
        </w:rPr>
      </w:pPr>
      <w:r>
        <w:rPr>
          <w:rFonts w:ascii="Century" w:hAnsi="Century"/>
          <w:rtl/>
        </w:rPr>
        <w:tab/>
      </w:r>
      <w:r>
        <w:rPr>
          <w:rFonts w:ascii="Century" w:hAnsi="Century" w:hint="cs"/>
          <w:rtl/>
        </w:rPr>
        <w:t xml:space="preserve">סומך אני את ידיי על דבריהם של </w:t>
      </w:r>
      <w:r w:rsidRPr="00586CBF">
        <w:rPr>
          <w:rFonts w:ascii="Century" w:hAnsi="Century" w:hint="cs"/>
          <w:rtl/>
        </w:rPr>
        <w:t xml:space="preserve">חבריי השופטים </w:t>
      </w:r>
      <w:r w:rsidRPr="00586CBF">
        <w:rPr>
          <w:rFonts w:ascii="Century" w:hAnsi="Century" w:cs="Miriam" w:hint="cs"/>
          <w:b/>
          <w:spacing w:val="0"/>
          <w:szCs w:val="24"/>
          <w:rtl/>
        </w:rPr>
        <w:t>י' וילנר</w:t>
      </w:r>
      <w:r w:rsidRPr="00586CBF">
        <w:rPr>
          <w:rFonts w:ascii="Century" w:hAnsi="Century" w:hint="cs"/>
          <w:rtl/>
        </w:rPr>
        <w:t xml:space="preserve"> ו-</w:t>
      </w:r>
      <w:r w:rsidRPr="00586CBF">
        <w:rPr>
          <w:rFonts w:ascii="Century" w:hAnsi="Century" w:cs="Miriam" w:hint="cs"/>
          <w:b/>
          <w:spacing w:val="0"/>
          <w:szCs w:val="24"/>
          <w:rtl/>
        </w:rPr>
        <w:t>נ' סולברג</w:t>
      </w:r>
      <w:r w:rsidRPr="002875B9">
        <w:rPr>
          <w:rFonts w:ascii="Century" w:hAnsi="Century" w:hint="cs"/>
          <w:rtl/>
        </w:rPr>
        <w:t xml:space="preserve"> </w:t>
      </w:r>
      <w:r>
        <w:rPr>
          <w:rFonts w:ascii="Century" w:hAnsi="Century" w:hint="cs"/>
          <w:rtl/>
        </w:rPr>
        <w:t xml:space="preserve">בהתייחסותם לנימוקי חוות דעתו של ממלא מקום הנשיא </w:t>
      </w:r>
      <w:r w:rsidRPr="002875B9">
        <w:rPr>
          <w:rFonts w:ascii="Century" w:hAnsi="Century" w:cs="Miriam" w:hint="cs"/>
          <w:b/>
          <w:spacing w:val="0"/>
          <w:szCs w:val="24"/>
          <w:rtl/>
        </w:rPr>
        <w:t>ע'</w:t>
      </w:r>
      <w:r w:rsidRPr="002875B9">
        <w:rPr>
          <w:rFonts w:ascii="Century" w:hAnsi="Century" w:hint="cs"/>
          <w:rtl/>
        </w:rPr>
        <w:t xml:space="preserve"> </w:t>
      </w:r>
      <w:r w:rsidRPr="002875B9">
        <w:rPr>
          <w:rFonts w:ascii="Century" w:hAnsi="Century" w:cs="Miriam" w:hint="cs"/>
          <w:b/>
          <w:spacing w:val="0"/>
          <w:szCs w:val="24"/>
          <w:rtl/>
        </w:rPr>
        <w:t>פוגלמן</w:t>
      </w:r>
      <w:r>
        <w:rPr>
          <w:rFonts w:ascii="Century" w:hAnsi="Century" w:hint="cs"/>
          <w:rtl/>
        </w:rPr>
        <w:t xml:space="preserve"> בעניין פרשנות מועד התחולה של </w:t>
      </w:r>
      <w:r>
        <w:rPr>
          <w:rFonts w:ascii="FrankRuehl" w:hAnsi="FrankRuehl" w:hint="cs"/>
          <w:sz w:val="28"/>
          <w:rtl/>
        </w:rPr>
        <w:t>תיקון מס' 53 ל</w:t>
      </w:r>
      <w:r>
        <w:rPr>
          <w:rFonts w:ascii="FrankRuehl" w:hAnsi="FrankRuehl"/>
          <w:sz w:val="28"/>
          <w:rtl/>
        </w:rPr>
        <w:t>חוק הרשויות המקומיות (בחירות)</w:t>
      </w:r>
      <w:r>
        <w:rPr>
          <w:rFonts w:ascii="FrankRuehl" w:hAnsi="FrankRuehl" w:hint="cs"/>
          <w:sz w:val="28"/>
          <w:rtl/>
        </w:rPr>
        <w:t>,</w:t>
      </w:r>
      <w:r>
        <w:rPr>
          <w:rFonts w:ascii="FrankRuehl" w:hAnsi="FrankRuehl"/>
          <w:sz w:val="28"/>
          <w:rtl/>
        </w:rPr>
        <w:t xml:space="preserve"> התש</w:t>
      </w:r>
      <w:r>
        <w:rPr>
          <w:rFonts w:ascii="FrankRuehl" w:hAnsi="FrankRuehl" w:hint="cs"/>
          <w:sz w:val="28"/>
          <w:rtl/>
        </w:rPr>
        <w:t>כ</w:t>
      </w:r>
      <w:r>
        <w:rPr>
          <w:rFonts w:ascii="FrankRuehl" w:hAnsi="FrankRuehl"/>
          <w:sz w:val="28"/>
          <w:rtl/>
        </w:rPr>
        <w:t>"</w:t>
      </w:r>
      <w:r>
        <w:rPr>
          <w:rFonts w:ascii="FrankRuehl" w:hAnsi="FrankRuehl" w:hint="cs"/>
          <w:sz w:val="28"/>
          <w:rtl/>
        </w:rPr>
        <w:t>ה</w:t>
      </w:r>
      <w:r>
        <w:rPr>
          <w:rFonts w:ascii="FrankRuehl" w:hAnsi="FrankRuehl"/>
          <w:sz w:val="28"/>
          <w:rtl/>
        </w:rPr>
        <w:t>-</w:t>
      </w:r>
      <w:r>
        <w:rPr>
          <w:rFonts w:ascii="FrankRuehl" w:hAnsi="FrankRuehl" w:hint="cs"/>
          <w:sz w:val="28"/>
          <w:rtl/>
        </w:rPr>
        <w:t xml:space="preserve">1965 (להלן: </w:t>
      </w:r>
      <w:r w:rsidRPr="00B44067">
        <w:rPr>
          <w:rFonts w:ascii="Century" w:hAnsi="Century" w:cs="Miriam" w:hint="cs"/>
          <w:b/>
          <w:spacing w:val="0"/>
          <w:szCs w:val="24"/>
          <w:rtl/>
        </w:rPr>
        <w:t>התיקון</w:t>
      </w:r>
      <w:r>
        <w:rPr>
          <w:rFonts w:ascii="FrankRuehl" w:hAnsi="FrankRuehl"/>
          <w:sz w:val="28"/>
          <w:rtl/>
        </w:rPr>
        <w:t>)</w:t>
      </w:r>
      <w:r>
        <w:rPr>
          <w:rFonts w:ascii="Century" w:hAnsi="Century" w:hint="cs"/>
          <w:rtl/>
        </w:rPr>
        <w:t>. אף לגישתי פרשנות בדבר תחולתו הנדחית של התיקון נובעת מכך שמדובר בתיקון שיש בו משום שינוי של כללי הבחירות לרשויות המקומיות לאחר שכבר החלה תקופת הבחירות; ושמדיוני ועדת הפנים והגנת הסביבה של הכנסת עולה כי גם חברי הכנסת שדנו בו לא התכוונו לשנות את כללי הבחירות בתוך תקופת הבחירות.</w:t>
      </w:r>
    </w:p>
    <w:p w:rsidR="00002C55" w:rsidRDefault="00002C55" w:rsidP="00002C55">
      <w:pPr>
        <w:pStyle w:val="Ruller41"/>
        <w:rPr>
          <w:rFonts w:ascii="Century" w:hAnsi="Century"/>
          <w:rtl/>
        </w:rPr>
      </w:pPr>
    </w:p>
    <w:p w:rsidR="00002C55" w:rsidRDefault="00002C55" w:rsidP="00002C55">
      <w:pPr>
        <w:pStyle w:val="Ruller41"/>
        <w:rPr>
          <w:rFonts w:ascii="Century" w:hAnsi="Century"/>
          <w:rtl/>
        </w:rPr>
      </w:pPr>
      <w:r>
        <w:rPr>
          <w:rFonts w:ascii="Century" w:hAnsi="Century"/>
          <w:rtl/>
        </w:rPr>
        <w:tab/>
      </w:r>
      <w:r>
        <w:rPr>
          <w:rFonts w:ascii="Century" w:hAnsi="Century" w:hint="cs"/>
          <w:rtl/>
        </w:rPr>
        <w:t xml:space="preserve">באשר להיבט הפרסונליות של התיקון, אעיר כי מבלי להביע עמדה בנוגע ליכולת להבחין בין דבר חקיקה בעל </w:t>
      </w:r>
      <w:r w:rsidRPr="00146940">
        <w:rPr>
          <w:rFonts w:ascii="Century" w:hAnsi="Century" w:cs="Miriam" w:hint="cs"/>
          <w:b/>
          <w:spacing w:val="0"/>
          <w:szCs w:val="24"/>
          <w:rtl/>
        </w:rPr>
        <w:t>מניע</w:t>
      </w:r>
      <w:r w:rsidRPr="00146940">
        <w:rPr>
          <w:rFonts w:ascii="Century" w:hAnsi="Century" w:hint="cs"/>
          <w:rtl/>
        </w:rPr>
        <w:t xml:space="preserve"> </w:t>
      </w:r>
      <w:r>
        <w:rPr>
          <w:rFonts w:ascii="Century" w:hAnsi="Century" w:hint="cs"/>
          <w:rtl/>
        </w:rPr>
        <w:t xml:space="preserve">פרסונלי לבין דבר חקיקה בעל </w:t>
      </w:r>
      <w:r w:rsidRPr="00146940">
        <w:rPr>
          <w:rFonts w:ascii="Century" w:hAnsi="Century" w:cs="Miriam" w:hint="cs"/>
          <w:b/>
          <w:spacing w:val="0"/>
          <w:szCs w:val="24"/>
          <w:rtl/>
        </w:rPr>
        <w:t>תכלית</w:t>
      </w:r>
      <w:r w:rsidRPr="00146940">
        <w:rPr>
          <w:rFonts w:ascii="Century" w:hAnsi="Century" w:hint="cs"/>
          <w:rtl/>
        </w:rPr>
        <w:t xml:space="preserve"> </w:t>
      </w:r>
      <w:r>
        <w:rPr>
          <w:rFonts w:ascii="Century" w:hAnsi="Century" w:hint="cs"/>
          <w:rtl/>
        </w:rPr>
        <w:t xml:space="preserve">פרסונלית, שותף אני לדעתו של חברי השופט </w:t>
      </w:r>
      <w:r w:rsidRPr="006E5607">
        <w:rPr>
          <w:rFonts w:ascii="Century" w:hAnsi="Century" w:cs="Miriam" w:hint="cs"/>
          <w:b/>
          <w:spacing w:val="0"/>
          <w:szCs w:val="24"/>
          <w:rtl/>
        </w:rPr>
        <w:t>סולברג</w:t>
      </w:r>
      <w:r>
        <w:rPr>
          <w:rFonts w:ascii="Century" w:hAnsi="Century" w:hint="cs"/>
          <w:rtl/>
        </w:rPr>
        <w:t xml:space="preserve"> כי במקרה זה קשה עד מאוד לקבוע כי מדובר בתיקון בעל אופי פרסונלי. </w:t>
      </w:r>
    </w:p>
    <w:p w:rsidR="00002C55" w:rsidRDefault="00002C55" w:rsidP="00002C55">
      <w:pPr>
        <w:pStyle w:val="Ruller41"/>
        <w:rPr>
          <w:rFonts w:ascii="Century" w:hAnsi="Century"/>
          <w:rtl/>
        </w:rPr>
      </w:pPr>
    </w:p>
    <w:p w:rsidR="00002C55" w:rsidRDefault="00002C55" w:rsidP="00002C55">
      <w:pPr>
        <w:pStyle w:val="Ruller41"/>
        <w:rPr>
          <w:rFonts w:ascii="Century" w:hAnsi="Century"/>
          <w:rtl/>
        </w:rPr>
      </w:pPr>
      <w:r>
        <w:rPr>
          <w:rFonts w:ascii="Century" w:hAnsi="Century"/>
          <w:rtl/>
        </w:rPr>
        <w:tab/>
      </w:r>
      <w:r>
        <w:rPr>
          <w:rFonts w:ascii="Century" w:hAnsi="Century" w:hint="cs"/>
          <w:rtl/>
        </w:rPr>
        <w:t xml:space="preserve">ובעניין חוות דעתו של חברי השופט </w:t>
      </w:r>
      <w:r>
        <w:rPr>
          <w:rFonts w:ascii="Century" w:hAnsi="Century" w:cs="Miriam" w:hint="cs"/>
          <w:b/>
          <w:spacing w:val="0"/>
          <w:szCs w:val="24"/>
          <w:rtl/>
        </w:rPr>
        <w:t xml:space="preserve">א' </w:t>
      </w:r>
      <w:r w:rsidRPr="001C4D8D">
        <w:rPr>
          <w:rFonts w:ascii="Century" w:hAnsi="Century" w:cs="Miriam" w:hint="cs"/>
          <w:b/>
          <w:spacing w:val="0"/>
          <w:szCs w:val="24"/>
          <w:rtl/>
        </w:rPr>
        <w:t>שטיין</w:t>
      </w:r>
      <w:r w:rsidRPr="001C4D8D">
        <w:rPr>
          <w:rFonts w:ascii="Century" w:hAnsi="Century" w:hint="cs"/>
          <w:rtl/>
        </w:rPr>
        <w:t xml:space="preserve"> </w:t>
      </w:r>
      <w:r>
        <w:rPr>
          <w:rFonts w:ascii="Century" w:hAnsi="Century" w:hint="cs"/>
          <w:rtl/>
        </w:rPr>
        <w:t xml:space="preserve">בנוגע לתוקפה של מגילת העצמאות, אציין כפי שהצביעו חלק מחבריי, כי אין זו האכסניה המתאימה להידרש לעניין. די שאומר כי בנוסף לדברים שהצביע עליהם חברי השופט </w:t>
      </w:r>
      <w:r w:rsidRPr="007A077D">
        <w:rPr>
          <w:rFonts w:ascii="Century" w:hAnsi="Century" w:cs="Miriam" w:hint="cs"/>
          <w:b/>
          <w:spacing w:val="0"/>
          <w:szCs w:val="24"/>
          <w:rtl/>
        </w:rPr>
        <w:t>סולברג</w:t>
      </w:r>
      <w:r>
        <w:rPr>
          <w:rFonts w:ascii="Century" w:hAnsi="Century" w:hint="cs"/>
          <w:rtl/>
        </w:rPr>
        <w:t xml:space="preserve"> בחוות דעתו, הרי שעצם הנחת המוצא שמגילת העצמאות היא זו המהווה מקור הסמכות לחקיקת חוקי המדינה מוקשית מאוד בעיניי. </w:t>
      </w:r>
    </w:p>
    <w:p w:rsidR="00002C55" w:rsidRDefault="00002C55" w:rsidP="00BB1321">
      <w:pPr>
        <w:pStyle w:val="Ruller41"/>
        <w:rPr>
          <w:rtl/>
        </w:rPr>
      </w:pPr>
    </w:p>
    <w:tbl>
      <w:tblPr>
        <w:bidiVisual/>
        <w:tblW w:w="8363" w:type="dxa"/>
        <w:tblLook w:val="01E0" w:firstRow="1" w:lastRow="1" w:firstColumn="1" w:lastColumn="1" w:noHBand="0" w:noVBand="0"/>
      </w:tblPr>
      <w:tblGrid>
        <w:gridCol w:w="2783"/>
        <w:gridCol w:w="2797"/>
        <w:gridCol w:w="2783"/>
      </w:tblGrid>
      <w:tr w:rsidR="00BB1321" w:rsidRPr="00267280" w:rsidTr="002A0D41">
        <w:tc>
          <w:tcPr>
            <w:tcW w:w="2783" w:type="dxa"/>
            <w:shd w:val="clear" w:color="auto" w:fill="auto"/>
          </w:tcPr>
          <w:p w:rsidR="00BB1321" w:rsidRPr="00267280" w:rsidRDefault="00BB1321" w:rsidP="002A0D41">
            <w:pPr>
              <w:pStyle w:val="Ruller41"/>
              <w:jc w:val="center"/>
              <w:rPr>
                <w:rtl/>
              </w:rPr>
            </w:pPr>
          </w:p>
        </w:tc>
        <w:tc>
          <w:tcPr>
            <w:tcW w:w="2797" w:type="dxa"/>
            <w:shd w:val="clear" w:color="auto" w:fill="auto"/>
          </w:tcPr>
          <w:p w:rsidR="00BB1321" w:rsidRPr="00267280" w:rsidRDefault="00BB1321" w:rsidP="002A0D41">
            <w:pPr>
              <w:pStyle w:val="Ruller41"/>
              <w:jc w:val="center"/>
              <w:rPr>
                <w:rtl/>
              </w:rPr>
            </w:pPr>
          </w:p>
        </w:tc>
        <w:tc>
          <w:tcPr>
            <w:tcW w:w="2783" w:type="dxa"/>
            <w:shd w:val="clear" w:color="auto" w:fill="auto"/>
          </w:tcPr>
          <w:p w:rsidR="00BB1321" w:rsidRPr="00267280" w:rsidRDefault="00BB1321" w:rsidP="002A0D41">
            <w:pPr>
              <w:pStyle w:val="Ruller41"/>
              <w:jc w:val="right"/>
              <w:rPr>
                <w:rtl/>
              </w:rPr>
            </w:pPr>
            <w:r>
              <w:rPr>
                <w:rFonts w:hint="cs"/>
                <w:rtl/>
              </w:rPr>
              <w:t>ש ו פ ט</w:t>
            </w:r>
          </w:p>
        </w:tc>
      </w:tr>
    </w:tbl>
    <w:p w:rsidR="00FD1CBF" w:rsidRDefault="00FD1CBF" w:rsidP="00BB1321">
      <w:pPr>
        <w:pStyle w:val="Ruller41"/>
        <w:rPr>
          <w:rtl/>
        </w:rPr>
      </w:pPr>
    </w:p>
    <w:p w:rsidR="00FD1CBF" w:rsidRDefault="00FD1CBF">
      <w:pPr>
        <w:overflowPunct/>
        <w:autoSpaceDE/>
        <w:autoSpaceDN/>
        <w:bidi w:val="0"/>
        <w:adjustRightInd/>
        <w:textAlignment w:val="auto"/>
        <w:rPr>
          <w:rFonts w:ascii="Arial TUR" w:hAnsi="Arial TUR" w:cs="FrankRuehl"/>
          <w:spacing w:val="10"/>
          <w:sz w:val="22"/>
          <w:szCs w:val="28"/>
          <w:rtl/>
        </w:rPr>
      </w:pPr>
      <w:r>
        <w:rPr>
          <w:rtl/>
        </w:rPr>
        <w:br w:type="page"/>
      </w:r>
    </w:p>
    <w:p w:rsidR="00BB1321" w:rsidRDefault="00BB1321" w:rsidP="00BB1321">
      <w:pPr>
        <w:pStyle w:val="Ruller41"/>
        <w:rPr>
          <w:rtl/>
        </w:rPr>
      </w:pPr>
    </w:p>
    <w:p w:rsidR="00267280" w:rsidRDefault="00267280" w:rsidP="00620443">
      <w:pPr>
        <w:pStyle w:val="Ruller41"/>
        <w:rPr>
          <w:rtl/>
        </w:rPr>
      </w:pPr>
      <w:r>
        <w:rPr>
          <w:rtl/>
        </w:rPr>
        <w:tab/>
      </w:r>
      <w:r w:rsidR="00620443">
        <w:rPr>
          <w:rFonts w:hint="cs"/>
          <w:rtl/>
        </w:rPr>
        <w:t>אלה הם נימוקינו לפסק הדין שניתן על ידינו ביום 30.7.2023</w:t>
      </w:r>
      <w:r w:rsidR="00AE52D0">
        <w:rPr>
          <w:rFonts w:hint="cs"/>
          <w:rtl/>
        </w:rPr>
        <w:t xml:space="preserve">. </w:t>
      </w:r>
    </w:p>
    <w:p w:rsidR="00267280" w:rsidRDefault="00267280" w:rsidP="00A51FAE">
      <w:pPr>
        <w:pStyle w:val="Ruller41"/>
        <w:rPr>
          <w:rtl/>
        </w:rPr>
      </w:pPr>
    </w:p>
    <w:p w:rsidR="00267280" w:rsidRDefault="00267280" w:rsidP="00267280">
      <w:pPr>
        <w:pStyle w:val="Ruller41"/>
        <w:rPr>
          <w:rtl/>
        </w:rPr>
      </w:pPr>
      <w:r>
        <w:rPr>
          <w:rtl/>
        </w:rPr>
        <w:tab/>
        <w:t>נית</w:t>
      </w:r>
      <w:r>
        <w:rPr>
          <w:rFonts w:hint="cs"/>
          <w:rtl/>
        </w:rPr>
        <w:t>ן</w:t>
      </w:r>
      <w:r>
        <w:rPr>
          <w:rtl/>
        </w:rPr>
        <w:t xml:space="preserve"> היום, </w:t>
      </w:r>
      <w:r>
        <w:rPr>
          <w:rFonts w:hint="eastAsia"/>
          <w:rtl/>
        </w:rPr>
        <w:t>‏</w:t>
      </w:r>
      <w:r>
        <w:rPr>
          <w:rFonts w:hint="cs"/>
          <w:rtl/>
        </w:rPr>
        <w:t xml:space="preserve">י"א </w:t>
      </w:r>
      <w:r>
        <w:rPr>
          <w:rtl/>
        </w:rPr>
        <w:t>בחשון התשפ"ד (</w:t>
      </w:r>
      <w:r>
        <w:rPr>
          <w:rFonts w:hint="eastAsia"/>
          <w:rtl/>
        </w:rPr>
        <w:t>‏</w:t>
      </w:r>
      <w:r>
        <w:rPr>
          <w:rtl/>
        </w:rPr>
        <w:t>2</w:t>
      </w:r>
      <w:r>
        <w:rPr>
          <w:rFonts w:hint="cs"/>
          <w:rtl/>
        </w:rPr>
        <w:t>6</w:t>
      </w:r>
      <w:r>
        <w:rPr>
          <w:rtl/>
        </w:rPr>
        <w:t>.10.2023).</w:t>
      </w:r>
    </w:p>
    <w:p w:rsidR="00267280" w:rsidRDefault="00267280" w:rsidP="00A51FAE">
      <w:pPr>
        <w:pStyle w:val="Ruller41"/>
        <w:rPr>
          <w:rtl/>
        </w:rPr>
      </w:pPr>
    </w:p>
    <w:p w:rsidR="00FD1CBF" w:rsidRDefault="00FD1CBF" w:rsidP="00A51FAE">
      <w:pPr>
        <w:pStyle w:val="Ruller41"/>
        <w:rPr>
          <w:rtl/>
        </w:rPr>
      </w:pPr>
    </w:p>
    <w:tbl>
      <w:tblPr>
        <w:bidiVisual/>
        <w:tblW w:w="8363" w:type="dxa"/>
        <w:tblLook w:val="01E0" w:firstRow="1" w:lastRow="1" w:firstColumn="1" w:lastColumn="1" w:noHBand="0" w:noVBand="0"/>
      </w:tblPr>
      <w:tblGrid>
        <w:gridCol w:w="2783"/>
        <w:gridCol w:w="2797"/>
        <w:gridCol w:w="2783"/>
      </w:tblGrid>
      <w:tr w:rsidR="003B5234" w:rsidRPr="00267280" w:rsidTr="00E848FF">
        <w:tc>
          <w:tcPr>
            <w:tcW w:w="2783" w:type="dxa"/>
            <w:shd w:val="clear" w:color="auto" w:fill="auto"/>
          </w:tcPr>
          <w:p w:rsidR="003B5234" w:rsidRPr="00267280" w:rsidRDefault="003B5234" w:rsidP="00D53F66">
            <w:pPr>
              <w:pStyle w:val="Ruller41"/>
              <w:jc w:val="left"/>
              <w:rPr>
                <w:rtl/>
              </w:rPr>
            </w:pPr>
            <w:r w:rsidRPr="00267280">
              <w:rPr>
                <w:rtl/>
              </w:rPr>
              <w:t>הנשיאה</w:t>
            </w:r>
            <w:r w:rsidR="00D57E3F">
              <w:rPr>
                <w:rFonts w:hint="cs"/>
                <w:rtl/>
              </w:rPr>
              <w:t xml:space="preserve"> (בדימ')</w:t>
            </w:r>
          </w:p>
        </w:tc>
        <w:tc>
          <w:tcPr>
            <w:tcW w:w="2797" w:type="dxa"/>
            <w:shd w:val="clear" w:color="auto" w:fill="auto"/>
          </w:tcPr>
          <w:p w:rsidR="003B5234" w:rsidRPr="00267280" w:rsidRDefault="00D57E3F" w:rsidP="00654DC5">
            <w:pPr>
              <w:pStyle w:val="Ruller41"/>
              <w:jc w:val="center"/>
              <w:rPr>
                <w:rtl/>
              </w:rPr>
            </w:pPr>
            <w:r>
              <w:rPr>
                <w:rFonts w:hint="cs"/>
                <w:rtl/>
              </w:rPr>
              <w:t>מ"מ הנשיא</w:t>
            </w:r>
          </w:p>
        </w:tc>
        <w:tc>
          <w:tcPr>
            <w:tcW w:w="2783" w:type="dxa"/>
            <w:shd w:val="clear" w:color="auto" w:fill="auto"/>
          </w:tcPr>
          <w:p w:rsidR="003B5234" w:rsidRPr="00267280" w:rsidRDefault="003B5234" w:rsidP="00D53F66">
            <w:pPr>
              <w:pStyle w:val="Ruller41"/>
              <w:jc w:val="right"/>
              <w:rPr>
                <w:rtl/>
              </w:rPr>
            </w:pPr>
            <w:r w:rsidRPr="00267280">
              <w:rPr>
                <w:rtl/>
              </w:rPr>
              <w:t>ש ו פ ט</w:t>
            </w:r>
          </w:p>
        </w:tc>
      </w:tr>
    </w:tbl>
    <w:p w:rsidR="003B5234" w:rsidRDefault="003B5234" w:rsidP="003B5234">
      <w:pPr>
        <w:pStyle w:val="Ruller41"/>
        <w:rPr>
          <w:sz w:val="26"/>
          <w:szCs w:val="36"/>
          <w:rtl/>
        </w:rPr>
      </w:pPr>
    </w:p>
    <w:p w:rsidR="00FD1CBF" w:rsidRPr="00267280" w:rsidRDefault="00FD1CBF" w:rsidP="003B5234">
      <w:pPr>
        <w:pStyle w:val="Ruller41"/>
        <w:rPr>
          <w:sz w:val="26"/>
          <w:szCs w:val="36"/>
          <w:rtl/>
        </w:rPr>
      </w:pPr>
    </w:p>
    <w:tbl>
      <w:tblPr>
        <w:bidiVisual/>
        <w:tblW w:w="8363" w:type="dxa"/>
        <w:tblLook w:val="01E0" w:firstRow="1" w:lastRow="1" w:firstColumn="1" w:lastColumn="1" w:noHBand="0" w:noVBand="0"/>
      </w:tblPr>
      <w:tblGrid>
        <w:gridCol w:w="2783"/>
        <w:gridCol w:w="2783"/>
        <w:gridCol w:w="2797"/>
      </w:tblGrid>
      <w:tr w:rsidR="00562EBF" w:rsidRPr="00267280" w:rsidTr="00654DC5">
        <w:tc>
          <w:tcPr>
            <w:tcW w:w="2842" w:type="dxa"/>
            <w:shd w:val="clear" w:color="auto" w:fill="auto"/>
          </w:tcPr>
          <w:p w:rsidR="003B5234" w:rsidRPr="00267280" w:rsidRDefault="00434B69" w:rsidP="00D53F66">
            <w:pPr>
              <w:pStyle w:val="Ruller41"/>
              <w:jc w:val="left"/>
              <w:rPr>
                <w:rtl/>
              </w:rPr>
            </w:pPr>
            <w:r>
              <w:rPr>
                <w:rFonts w:hint="cs"/>
                <w:rtl/>
              </w:rPr>
              <w:t xml:space="preserve"> </w:t>
            </w:r>
            <w:r w:rsidR="003B5234" w:rsidRPr="00267280">
              <w:rPr>
                <w:rtl/>
              </w:rPr>
              <w:t>ש ו פ ט</w:t>
            </w:r>
          </w:p>
        </w:tc>
        <w:tc>
          <w:tcPr>
            <w:tcW w:w="2843" w:type="dxa"/>
            <w:shd w:val="clear" w:color="auto" w:fill="auto"/>
          </w:tcPr>
          <w:p w:rsidR="003B5234" w:rsidRPr="00267280" w:rsidRDefault="003B5234" w:rsidP="00654DC5">
            <w:pPr>
              <w:pStyle w:val="Ruller41"/>
              <w:jc w:val="center"/>
              <w:rPr>
                <w:rtl/>
              </w:rPr>
            </w:pPr>
            <w:r w:rsidRPr="00267280">
              <w:rPr>
                <w:rtl/>
              </w:rPr>
              <w:t>ש ו פ ט</w:t>
            </w:r>
            <w:r w:rsidRPr="00267280">
              <w:rPr>
                <w:rFonts w:hint="cs"/>
                <w:rtl/>
              </w:rPr>
              <w:t xml:space="preserve"> ת</w:t>
            </w:r>
          </w:p>
        </w:tc>
        <w:tc>
          <w:tcPr>
            <w:tcW w:w="2843" w:type="dxa"/>
            <w:shd w:val="clear" w:color="auto" w:fill="auto"/>
          </w:tcPr>
          <w:p w:rsidR="003B5234" w:rsidRPr="00267280" w:rsidRDefault="003B5234" w:rsidP="00D53F66">
            <w:pPr>
              <w:pStyle w:val="Ruller41"/>
              <w:jc w:val="right"/>
              <w:rPr>
                <w:rtl/>
              </w:rPr>
            </w:pPr>
            <w:r w:rsidRPr="00267280">
              <w:rPr>
                <w:rtl/>
              </w:rPr>
              <w:t>ש ו פ ט</w:t>
            </w:r>
            <w:r w:rsidRPr="00267280">
              <w:rPr>
                <w:rFonts w:hint="cs"/>
                <w:rtl/>
              </w:rPr>
              <w:t xml:space="preserve"> ת</w:t>
            </w:r>
            <w:r w:rsidR="00562EBF">
              <w:rPr>
                <w:rFonts w:hint="cs"/>
                <w:rtl/>
              </w:rPr>
              <w:t xml:space="preserve"> (בדימ')</w:t>
            </w:r>
          </w:p>
        </w:tc>
      </w:tr>
    </w:tbl>
    <w:p w:rsidR="003B5234" w:rsidRDefault="003B5234" w:rsidP="003B5234">
      <w:pPr>
        <w:pStyle w:val="Ruller41"/>
        <w:rPr>
          <w:sz w:val="26"/>
          <w:szCs w:val="36"/>
        </w:rPr>
      </w:pPr>
    </w:p>
    <w:p w:rsidR="00FD1CBF" w:rsidRPr="00267280" w:rsidRDefault="00FD1CBF" w:rsidP="003B5234">
      <w:pPr>
        <w:pStyle w:val="Ruller41"/>
        <w:rPr>
          <w:sz w:val="26"/>
          <w:szCs w:val="36"/>
          <w:rtl/>
        </w:rPr>
      </w:pPr>
    </w:p>
    <w:tbl>
      <w:tblPr>
        <w:bidiVisual/>
        <w:tblW w:w="8363" w:type="dxa"/>
        <w:tblLook w:val="01E0" w:firstRow="1" w:lastRow="1" w:firstColumn="1" w:lastColumn="1" w:noHBand="0" w:noVBand="0"/>
      </w:tblPr>
      <w:tblGrid>
        <w:gridCol w:w="2783"/>
        <w:gridCol w:w="2797"/>
        <w:gridCol w:w="2783"/>
      </w:tblGrid>
      <w:tr w:rsidR="00267280" w:rsidRPr="00267280" w:rsidTr="00654DC5">
        <w:tc>
          <w:tcPr>
            <w:tcW w:w="2783" w:type="dxa"/>
            <w:shd w:val="clear" w:color="auto" w:fill="auto"/>
          </w:tcPr>
          <w:p w:rsidR="003B5234" w:rsidRPr="00267280" w:rsidRDefault="003B5234" w:rsidP="00D53F66">
            <w:pPr>
              <w:pStyle w:val="Ruller41"/>
              <w:jc w:val="left"/>
              <w:rPr>
                <w:rtl/>
              </w:rPr>
            </w:pPr>
            <w:r w:rsidRPr="00267280">
              <w:rPr>
                <w:rtl/>
              </w:rPr>
              <w:t>ש ו פ ט</w:t>
            </w:r>
          </w:p>
        </w:tc>
        <w:tc>
          <w:tcPr>
            <w:tcW w:w="2797" w:type="dxa"/>
            <w:shd w:val="clear" w:color="auto" w:fill="auto"/>
          </w:tcPr>
          <w:p w:rsidR="003B5234" w:rsidRPr="00267280" w:rsidRDefault="003B5234" w:rsidP="00654DC5">
            <w:pPr>
              <w:pStyle w:val="Ruller41"/>
              <w:jc w:val="center"/>
              <w:rPr>
                <w:rtl/>
              </w:rPr>
            </w:pPr>
            <w:r w:rsidRPr="00267280">
              <w:rPr>
                <w:rtl/>
              </w:rPr>
              <w:t>ש ו פ ט</w:t>
            </w:r>
            <w:r w:rsidRPr="00267280">
              <w:rPr>
                <w:rFonts w:hint="cs"/>
                <w:rtl/>
              </w:rPr>
              <w:t xml:space="preserve"> ת</w:t>
            </w:r>
          </w:p>
        </w:tc>
        <w:tc>
          <w:tcPr>
            <w:tcW w:w="2783" w:type="dxa"/>
            <w:shd w:val="clear" w:color="auto" w:fill="auto"/>
          </w:tcPr>
          <w:p w:rsidR="003B5234" w:rsidRPr="00267280" w:rsidRDefault="003B5234" w:rsidP="00D53F66">
            <w:pPr>
              <w:pStyle w:val="Ruller41"/>
              <w:jc w:val="right"/>
              <w:rPr>
                <w:rtl/>
              </w:rPr>
            </w:pPr>
            <w:r w:rsidRPr="00267280">
              <w:rPr>
                <w:rtl/>
              </w:rPr>
              <w:t>ש ו פ ט</w:t>
            </w:r>
          </w:p>
        </w:tc>
      </w:tr>
    </w:tbl>
    <w:p w:rsidR="00916FF8" w:rsidRPr="00267280" w:rsidRDefault="00916FF8">
      <w:pPr>
        <w:rPr>
          <w:szCs w:val="16"/>
          <w:rtl/>
        </w:rPr>
      </w:pPr>
      <w:r w:rsidRPr="00267280">
        <w:rPr>
          <w:szCs w:val="16"/>
          <w:rtl/>
        </w:rPr>
        <w:t>_________________</w:t>
      </w:r>
      <w:r w:rsidR="00A12E0F" w:rsidRPr="00267280">
        <w:rPr>
          <w:rFonts w:hint="cs"/>
          <w:szCs w:val="16"/>
          <w:rtl/>
        </w:rPr>
        <w:t>________</w:t>
      </w:r>
    </w:p>
    <w:p w:rsidR="00916FF8" w:rsidRPr="00267280" w:rsidRDefault="00591983" w:rsidP="00B009CC">
      <w:pPr>
        <w:pStyle w:val="Ruller38"/>
        <w:rPr>
          <w:rtl/>
        </w:rPr>
      </w:pPr>
      <w:r w:rsidRPr="00267280">
        <w:rPr>
          <w:sz w:val="16"/>
        </w:rPr>
        <w:t xml:space="preserve"> </w:t>
      </w:r>
      <w:r w:rsidR="00A12E0F" w:rsidRPr="00267280">
        <w:rPr>
          <w:sz w:val="16"/>
        </w:rPr>
        <w:t xml:space="preserve">  </w:t>
      </w:r>
      <w:r w:rsidR="007942F3" w:rsidRPr="00267280">
        <w:rPr>
          <w:sz w:val="16"/>
        </w:rPr>
        <w:t xml:space="preserve">23051190_M17.docx   </w:t>
      </w:r>
      <w:r w:rsidR="007942F3" w:rsidRPr="00267280">
        <w:rPr>
          <w:sz w:val="16"/>
          <w:rtl/>
        </w:rPr>
        <w:t>דפ</w:t>
      </w:r>
    </w:p>
    <w:p w:rsidR="003F1F97" w:rsidRPr="00267280" w:rsidRDefault="00591983" w:rsidP="00C413FD">
      <w:pPr>
        <w:pStyle w:val="Ruller38"/>
        <w:rPr>
          <w:rtl/>
        </w:rPr>
      </w:pPr>
      <w:r w:rsidRPr="00267280">
        <w:rPr>
          <w:rtl/>
        </w:rPr>
        <w:t>מרכז מידע, טל'</w:t>
      </w:r>
      <w:r w:rsidRPr="00267280">
        <w:rPr>
          <w:rFonts w:hint="cs"/>
          <w:rtl/>
        </w:rPr>
        <w:t xml:space="preserve"> </w:t>
      </w:r>
      <w:r w:rsidR="00B63343" w:rsidRPr="00267280">
        <w:rPr>
          <w:rFonts w:hint="cs"/>
          <w:rtl/>
        </w:rPr>
        <w:t>077</w:t>
      </w:r>
      <w:r w:rsidRPr="00267280">
        <w:rPr>
          <w:rFonts w:hint="cs"/>
          <w:rtl/>
        </w:rPr>
        <w:t>-</w:t>
      </w:r>
      <w:r w:rsidR="00B63343" w:rsidRPr="00267280">
        <w:rPr>
          <w:rFonts w:hint="cs"/>
          <w:rtl/>
        </w:rPr>
        <w:t>270</w:t>
      </w:r>
      <w:r w:rsidR="00E21CA9" w:rsidRPr="00267280">
        <w:rPr>
          <w:rFonts w:hint="cs"/>
          <w:rtl/>
        </w:rPr>
        <w:t>3</w:t>
      </w:r>
      <w:r w:rsidR="009B38DA" w:rsidRPr="00267280">
        <w:rPr>
          <w:rFonts w:hint="cs"/>
          <w:rtl/>
        </w:rPr>
        <w:t>333</w:t>
      </w:r>
      <w:r w:rsidR="00866D0F" w:rsidRPr="00267280">
        <w:rPr>
          <w:rFonts w:hint="cs"/>
          <w:rtl/>
        </w:rPr>
        <w:t>, 3852*</w:t>
      </w:r>
      <w:r w:rsidRPr="00267280">
        <w:rPr>
          <w:rFonts w:hint="cs"/>
          <w:rtl/>
        </w:rPr>
        <w:t xml:space="preserve"> ; אתר אינטרנט, </w:t>
      </w:r>
      <w:hyperlink r:id="rId10" w:history="1">
        <w:r w:rsidR="00A10BDB" w:rsidRPr="00BB4C68">
          <w:rPr>
            <w:rStyle w:val="Hyperlink"/>
            <w:sz w:val="16"/>
          </w:rPr>
          <w:t>https://supreme.court.gov.il</w:t>
        </w:r>
      </w:hyperlink>
    </w:p>
    <w:sectPr w:rsidR="003F1F97" w:rsidRPr="00267280" w:rsidSect="00591983">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3EB" w:rsidRDefault="004B43EB">
      <w:r>
        <w:separator/>
      </w:r>
    </w:p>
  </w:endnote>
  <w:endnote w:type="continuationSeparator" w:id="0">
    <w:p w:rsidR="004B43EB" w:rsidRDefault="004B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2F3" w:rsidRDefault="007942F3">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148" w:name="footer_line"/>
    <w:bookmarkEnd w:id="148"/>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3EB" w:rsidRDefault="004B43EB">
      <w:r>
        <w:separator/>
      </w:r>
    </w:p>
  </w:footnote>
  <w:footnote w:type="continuationSeparator" w:id="0">
    <w:p w:rsidR="004B43EB" w:rsidRDefault="004B43EB">
      <w:r>
        <w:continuationSeparator/>
      </w:r>
    </w:p>
  </w:footnote>
  <w:footnote w:id="1">
    <w:p w:rsidR="00553FDC" w:rsidRPr="00100817" w:rsidRDefault="00553FDC" w:rsidP="00553FDC">
      <w:pPr>
        <w:pStyle w:val="ae"/>
        <w:jc w:val="both"/>
        <w:rPr>
          <w:rFonts w:ascii="Century" w:hAnsi="Century" w:cs="FrankRuehl"/>
          <w:spacing w:val="10"/>
          <w:sz w:val="24"/>
          <w:szCs w:val="24"/>
          <w:rtl/>
        </w:rPr>
      </w:pPr>
      <w:r w:rsidRPr="00100817">
        <w:rPr>
          <w:rStyle w:val="af0"/>
          <w:rFonts w:ascii="FrankRuehl" w:hAnsi="FrankRuehl" w:cs="FrankRuehl"/>
          <w:spacing w:val="10"/>
          <w:sz w:val="24"/>
          <w:szCs w:val="24"/>
        </w:rPr>
        <w:footnoteRef/>
      </w:r>
      <w:r>
        <w:rPr>
          <w:rFonts w:ascii="FrankRuehl" w:hAnsi="FrankRuehl" w:cs="FrankRuehl" w:hint="cs"/>
          <w:spacing w:val="10"/>
          <w:sz w:val="24"/>
          <w:szCs w:val="24"/>
          <w:rtl/>
        </w:rPr>
        <w:t>.</w:t>
      </w:r>
      <w:r w:rsidRPr="00100817">
        <w:rPr>
          <w:rFonts w:ascii="FrankRuehl" w:hAnsi="FrankRuehl" w:cs="FrankRuehl"/>
          <w:spacing w:val="10"/>
          <w:sz w:val="24"/>
          <w:szCs w:val="24"/>
          <w:rtl/>
        </w:rPr>
        <w:t xml:space="preserve"> </w:t>
      </w:r>
      <w:r w:rsidRPr="00100817">
        <w:rPr>
          <w:rFonts w:ascii="Century" w:hAnsi="Century" w:cs="FrankRuehl"/>
          <w:spacing w:val="10"/>
          <w:sz w:val="24"/>
          <w:szCs w:val="24"/>
          <w:rtl/>
        </w:rPr>
        <w:tab/>
      </w:r>
      <w:r w:rsidRPr="00100817">
        <w:rPr>
          <w:rFonts w:ascii="Century" w:hAnsi="Century" w:cs="FrankRuehl" w:hint="cs"/>
          <w:spacing w:val="10"/>
          <w:sz w:val="24"/>
          <w:szCs w:val="24"/>
          <w:rtl/>
        </w:rPr>
        <w:t xml:space="preserve">סעיף 10(א) לפקודת סדרי השלטון והמשפט מדבר </w:t>
      </w:r>
      <w:r>
        <w:rPr>
          <w:rFonts w:ascii="Century" w:hAnsi="Century" w:cs="FrankRuehl" w:hint="cs"/>
          <w:spacing w:val="10"/>
          <w:sz w:val="24"/>
          <w:szCs w:val="24"/>
          <w:rtl/>
        </w:rPr>
        <w:t xml:space="preserve">אמנם </w:t>
      </w:r>
      <w:r w:rsidRPr="00100817">
        <w:rPr>
          <w:rFonts w:ascii="Century" w:hAnsi="Century" w:cs="FrankRuehl" w:hint="cs"/>
          <w:spacing w:val="10"/>
          <w:sz w:val="24"/>
          <w:szCs w:val="24"/>
          <w:rtl/>
        </w:rPr>
        <w:t>על "פקודה" ולא על "חוק", אך סעיף זה יש לקרוא יחד עם סעיפים 1 ו-2 לחוק המעבר, התש"ט-1949, אשר קובעים</w:t>
      </w:r>
      <w:r>
        <w:rPr>
          <w:rFonts w:ascii="Century" w:hAnsi="Century" w:cs="FrankRuehl" w:hint="cs"/>
          <w:spacing w:val="10"/>
          <w:sz w:val="24"/>
          <w:szCs w:val="24"/>
          <w:rtl/>
        </w:rPr>
        <w:t>, לענייננו,</w:t>
      </w:r>
      <w:r w:rsidRPr="00100817">
        <w:rPr>
          <w:rFonts w:ascii="Century" w:hAnsi="Century" w:cs="FrankRuehl" w:hint="cs"/>
          <w:spacing w:val="10"/>
          <w:sz w:val="24"/>
          <w:szCs w:val="24"/>
          <w:rtl/>
        </w:rPr>
        <w:t xml:space="preserve"> כי "חוק" הכנסת ו"פקודה" חד הם (ראו</w:t>
      </w:r>
      <w:r>
        <w:rPr>
          <w:rFonts w:ascii="Century" w:hAnsi="Century" w:cs="FrankRuehl" w:hint="cs"/>
          <w:spacing w:val="10"/>
          <w:sz w:val="24"/>
          <w:szCs w:val="24"/>
          <w:rtl/>
        </w:rPr>
        <w:t xml:space="preserve">: עניין </w:t>
      </w:r>
      <w:r w:rsidRPr="00B77841">
        <w:rPr>
          <w:rFonts w:ascii="Century" w:hAnsi="Century" w:cs="Miriam" w:hint="cs"/>
          <w:b/>
          <w:rtl/>
        </w:rPr>
        <w:t>בצול</w:t>
      </w:r>
      <w:r>
        <w:rPr>
          <w:rFonts w:ascii="Century" w:hAnsi="Century" w:cs="FrankRuehl" w:hint="cs"/>
          <w:spacing w:val="10"/>
          <w:sz w:val="24"/>
          <w:szCs w:val="24"/>
          <w:rtl/>
        </w:rPr>
        <w:t>, עמ' 349).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9719F2">
      <w:rPr>
        <w:rStyle w:val="a4"/>
        <w:noProof/>
        <w:rtl/>
      </w:rPr>
      <w:t>21</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560F5"/>
    <w:multiLevelType w:val="hybridMultilevel"/>
    <w:tmpl w:val="3EFCD472"/>
    <w:lvl w:ilvl="0" w:tplc="120EF284">
      <w:numFmt w:val="bullet"/>
      <w:lvlText w:val="-"/>
      <w:lvlJc w:val="left"/>
      <w:pPr>
        <w:ind w:left="720" w:hanging="360"/>
      </w:pPr>
      <w:rPr>
        <w:rFonts w:ascii="FrankRuehl" w:eastAsia="Times New Roman" w:hAnsi="FrankRuehl" w:cs="FrankRueh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A6001B"/>
    <w:multiLevelType w:val="hybridMultilevel"/>
    <w:tmpl w:val="0A7EF766"/>
    <w:lvl w:ilvl="0" w:tplc="8ECA4AB4">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vanish w:val="0"/>
        <w:color w:val="auto"/>
        <w:spacing w:val="10"/>
        <w:w w:val="100"/>
        <w:kern w:val="0"/>
        <w:position w:val="0"/>
        <w:sz w:val="22"/>
        <w:szCs w:val="28"/>
        <w:u w:val="none"/>
        <w:effect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AD0BD8"/>
    <w:multiLevelType w:val="hybridMultilevel"/>
    <w:tmpl w:val="0FEC2778"/>
    <w:lvl w:ilvl="0" w:tplc="2FA2C9C6">
      <w:start w:val="1"/>
      <w:numFmt w:val="bullet"/>
      <w:lvlText w:val=""/>
      <w:lvlJc w:val="left"/>
      <w:pPr>
        <w:ind w:left="720" w:hanging="360"/>
      </w:pPr>
      <w:rPr>
        <w:rFonts w:ascii="Symbol" w:hAnsi="Symbol" w:hint="default"/>
      </w:rPr>
    </w:lvl>
    <w:lvl w:ilvl="1" w:tplc="68528A18" w:tentative="1">
      <w:start w:val="1"/>
      <w:numFmt w:val="bullet"/>
      <w:lvlText w:val="o"/>
      <w:lvlJc w:val="left"/>
      <w:pPr>
        <w:ind w:left="1440" w:hanging="360"/>
      </w:pPr>
      <w:rPr>
        <w:rFonts w:ascii="Courier New" w:hAnsi="Courier New" w:cs="Courier New" w:hint="default"/>
      </w:rPr>
    </w:lvl>
    <w:lvl w:ilvl="2" w:tplc="640C9E4C" w:tentative="1">
      <w:start w:val="1"/>
      <w:numFmt w:val="bullet"/>
      <w:lvlText w:val=""/>
      <w:lvlJc w:val="left"/>
      <w:pPr>
        <w:ind w:left="2160" w:hanging="360"/>
      </w:pPr>
      <w:rPr>
        <w:rFonts w:ascii="Wingdings" w:hAnsi="Wingdings" w:hint="default"/>
      </w:rPr>
    </w:lvl>
    <w:lvl w:ilvl="3" w:tplc="460CD0A0" w:tentative="1">
      <w:start w:val="1"/>
      <w:numFmt w:val="bullet"/>
      <w:lvlText w:val=""/>
      <w:lvlJc w:val="left"/>
      <w:pPr>
        <w:ind w:left="2880" w:hanging="360"/>
      </w:pPr>
      <w:rPr>
        <w:rFonts w:ascii="Symbol" w:hAnsi="Symbol" w:hint="default"/>
      </w:rPr>
    </w:lvl>
    <w:lvl w:ilvl="4" w:tplc="41C6C5C6" w:tentative="1">
      <w:start w:val="1"/>
      <w:numFmt w:val="bullet"/>
      <w:lvlText w:val="o"/>
      <w:lvlJc w:val="left"/>
      <w:pPr>
        <w:ind w:left="3600" w:hanging="360"/>
      </w:pPr>
      <w:rPr>
        <w:rFonts w:ascii="Courier New" w:hAnsi="Courier New" w:cs="Courier New" w:hint="default"/>
      </w:rPr>
    </w:lvl>
    <w:lvl w:ilvl="5" w:tplc="F4D63CCC" w:tentative="1">
      <w:start w:val="1"/>
      <w:numFmt w:val="bullet"/>
      <w:lvlText w:val=""/>
      <w:lvlJc w:val="left"/>
      <w:pPr>
        <w:ind w:left="4320" w:hanging="360"/>
      </w:pPr>
      <w:rPr>
        <w:rFonts w:ascii="Wingdings" w:hAnsi="Wingdings" w:hint="default"/>
      </w:rPr>
    </w:lvl>
    <w:lvl w:ilvl="6" w:tplc="A7BC7998" w:tentative="1">
      <w:start w:val="1"/>
      <w:numFmt w:val="bullet"/>
      <w:lvlText w:val=""/>
      <w:lvlJc w:val="left"/>
      <w:pPr>
        <w:ind w:left="5040" w:hanging="360"/>
      </w:pPr>
      <w:rPr>
        <w:rFonts w:ascii="Symbol" w:hAnsi="Symbol" w:hint="default"/>
      </w:rPr>
    </w:lvl>
    <w:lvl w:ilvl="7" w:tplc="5EFEB7DC" w:tentative="1">
      <w:start w:val="1"/>
      <w:numFmt w:val="bullet"/>
      <w:lvlText w:val="o"/>
      <w:lvlJc w:val="left"/>
      <w:pPr>
        <w:ind w:left="5760" w:hanging="360"/>
      </w:pPr>
      <w:rPr>
        <w:rFonts w:ascii="Courier New" w:hAnsi="Courier New" w:cs="Courier New" w:hint="default"/>
      </w:rPr>
    </w:lvl>
    <w:lvl w:ilvl="8" w:tplc="2176F236" w:tentative="1">
      <w:start w:val="1"/>
      <w:numFmt w:val="bullet"/>
      <w:lvlText w:val=""/>
      <w:lvlJc w:val="left"/>
      <w:pPr>
        <w:ind w:left="6480" w:hanging="360"/>
      </w:pPr>
      <w:rPr>
        <w:rFonts w:ascii="Wingdings" w:hAnsi="Wingdings" w:hint="default"/>
      </w:rPr>
    </w:lvl>
  </w:abstractNum>
  <w:abstractNum w:abstractNumId="13" w15:restartNumberingAfterBreak="0">
    <w:nsid w:val="14542051"/>
    <w:multiLevelType w:val="hybridMultilevel"/>
    <w:tmpl w:val="E48C55D8"/>
    <w:lvl w:ilvl="0" w:tplc="5636C654">
      <w:start w:val="1"/>
      <w:numFmt w:val="hebrew1"/>
      <w:lvlText w:val="%1."/>
      <w:lvlJc w:val="center"/>
      <w:pPr>
        <w:ind w:left="720" w:hanging="360"/>
      </w:pPr>
    </w:lvl>
    <w:lvl w:ilvl="1" w:tplc="028ACA92" w:tentative="1">
      <w:start w:val="1"/>
      <w:numFmt w:val="lowerLetter"/>
      <w:lvlText w:val="%2."/>
      <w:lvlJc w:val="left"/>
      <w:pPr>
        <w:ind w:left="1440" w:hanging="360"/>
      </w:pPr>
    </w:lvl>
    <w:lvl w:ilvl="2" w:tplc="FDAA010E" w:tentative="1">
      <w:start w:val="1"/>
      <w:numFmt w:val="lowerRoman"/>
      <w:lvlText w:val="%3."/>
      <w:lvlJc w:val="right"/>
      <w:pPr>
        <w:ind w:left="2160" w:hanging="180"/>
      </w:pPr>
    </w:lvl>
    <w:lvl w:ilvl="3" w:tplc="DC869A94" w:tentative="1">
      <w:start w:val="1"/>
      <w:numFmt w:val="decimal"/>
      <w:lvlText w:val="%4."/>
      <w:lvlJc w:val="left"/>
      <w:pPr>
        <w:ind w:left="2880" w:hanging="360"/>
      </w:pPr>
    </w:lvl>
    <w:lvl w:ilvl="4" w:tplc="ACEC5982" w:tentative="1">
      <w:start w:val="1"/>
      <w:numFmt w:val="lowerLetter"/>
      <w:lvlText w:val="%5."/>
      <w:lvlJc w:val="left"/>
      <w:pPr>
        <w:ind w:left="3600" w:hanging="360"/>
      </w:pPr>
    </w:lvl>
    <w:lvl w:ilvl="5" w:tplc="61988AC8" w:tentative="1">
      <w:start w:val="1"/>
      <w:numFmt w:val="lowerRoman"/>
      <w:lvlText w:val="%6."/>
      <w:lvlJc w:val="right"/>
      <w:pPr>
        <w:ind w:left="4320" w:hanging="180"/>
      </w:pPr>
    </w:lvl>
    <w:lvl w:ilvl="6" w:tplc="C1F203A2" w:tentative="1">
      <w:start w:val="1"/>
      <w:numFmt w:val="decimal"/>
      <w:lvlText w:val="%7."/>
      <w:lvlJc w:val="left"/>
      <w:pPr>
        <w:ind w:left="5040" w:hanging="360"/>
      </w:pPr>
    </w:lvl>
    <w:lvl w:ilvl="7" w:tplc="B66AA5D2" w:tentative="1">
      <w:start w:val="1"/>
      <w:numFmt w:val="lowerLetter"/>
      <w:lvlText w:val="%8."/>
      <w:lvlJc w:val="left"/>
      <w:pPr>
        <w:ind w:left="5760" w:hanging="360"/>
      </w:pPr>
    </w:lvl>
    <w:lvl w:ilvl="8" w:tplc="EBC6A5FE" w:tentative="1">
      <w:start w:val="1"/>
      <w:numFmt w:val="lowerRoman"/>
      <w:lvlText w:val="%9."/>
      <w:lvlJc w:val="right"/>
      <w:pPr>
        <w:ind w:left="6480" w:hanging="180"/>
      </w:pPr>
    </w:lvl>
  </w:abstractNum>
  <w:abstractNum w:abstractNumId="14" w15:restartNumberingAfterBreak="0">
    <w:nsid w:val="14A52099"/>
    <w:multiLevelType w:val="hybridMultilevel"/>
    <w:tmpl w:val="76484910"/>
    <w:lvl w:ilvl="0" w:tplc="0218A070">
      <w:start w:val="1"/>
      <w:numFmt w:val="hebrew1"/>
      <w:lvlText w:val="%1."/>
      <w:lvlJc w:val="center"/>
      <w:pPr>
        <w:ind w:left="1523" w:hanging="360"/>
      </w:pPr>
    </w:lvl>
    <w:lvl w:ilvl="1" w:tplc="51F69F5E" w:tentative="1">
      <w:start w:val="1"/>
      <w:numFmt w:val="lowerLetter"/>
      <w:lvlText w:val="%2."/>
      <w:lvlJc w:val="left"/>
      <w:pPr>
        <w:ind w:left="2243" w:hanging="360"/>
      </w:pPr>
    </w:lvl>
    <w:lvl w:ilvl="2" w:tplc="7DF6CDD8" w:tentative="1">
      <w:start w:val="1"/>
      <w:numFmt w:val="lowerRoman"/>
      <w:lvlText w:val="%3."/>
      <w:lvlJc w:val="right"/>
      <w:pPr>
        <w:ind w:left="2963" w:hanging="180"/>
      </w:pPr>
    </w:lvl>
    <w:lvl w:ilvl="3" w:tplc="8698F222" w:tentative="1">
      <w:start w:val="1"/>
      <w:numFmt w:val="decimal"/>
      <w:lvlText w:val="%4."/>
      <w:lvlJc w:val="left"/>
      <w:pPr>
        <w:ind w:left="3683" w:hanging="360"/>
      </w:pPr>
    </w:lvl>
    <w:lvl w:ilvl="4" w:tplc="98740C36" w:tentative="1">
      <w:start w:val="1"/>
      <w:numFmt w:val="lowerLetter"/>
      <w:lvlText w:val="%5."/>
      <w:lvlJc w:val="left"/>
      <w:pPr>
        <w:ind w:left="4403" w:hanging="360"/>
      </w:pPr>
    </w:lvl>
    <w:lvl w:ilvl="5" w:tplc="D862C332" w:tentative="1">
      <w:start w:val="1"/>
      <w:numFmt w:val="lowerRoman"/>
      <w:lvlText w:val="%6."/>
      <w:lvlJc w:val="right"/>
      <w:pPr>
        <w:ind w:left="5123" w:hanging="180"/>
      </w:pPr>
    </w:lvl>
    <w:lvl w:ilvl="6" w:tplc="DE785162" w:tentative="1">
      <w:start w:val="1"/>
      <w:numFmt w:val="decimal"/>
      <w:lvlText w:val="%7."/>
      <w:lvlJc w:val="left"/>
      <w:pPr>
        <w:ind w:left="5843" w:hanging="360"/>
      </w:pPr>
    </w:lvl>
    <w:lvl w:ilvl="7" w:tplc="8E2CDAC2" w:tentative="1">
      <w:start w:val="1"/>
      <w:numFmt w:val="lowerLetter"/>
      <w:lvlText w:val="%8."/>
      <w:lvlJc w:val="left"/>
      <w:pPr>
        <w:ind w:left="6563" w:hanging="360"/>
      </w:pPr>
    </w:lvl>
    <w:lvl w:ilvl="8" w:tplc="D418146E" w:tentative="1">
      <w:start w:val="1"/>
      <w:numFmt w:val="lowerRoman"/>
      <w:lvlText w:val="%9."/>
      <w:lvlJc w:val="right"/>
      <w:pPr>
        <w:ind w:left="7283" w:hanging="180"/>
      </w:pPr>
    </w:lvl>
  </w:abstractNum>
  <w:abstractNum w:abstractNumId="15" w15:restartNumberingAfterBreak="0">
    <w:nsid w:val="2B175AB9"/>
    <w:multiLevelType w:val="hybridMultilevel"/>
    <w:tmpl w:val="8E62D6FC"/>
    <w:lvl w:ilvl="0" w:tplc="47D42006">
      <w:start w:val="1"/>
      <w:numFmt w:val="hebrew1"/>
      <w:lvlText w:val="%1."/>
      <w:lvlJc w:val="center"/>
      <w:pPr>
        <w:ind w:left="1523" w:hanging="360"/>
      </w:pPr>
    </w:lvl>
    <w:lvl w:ilvl="1" w:tplc="DEAC0902" w:tentative="1">
      <w:start w:val="1"/>
      <w:numFmt w:val="lowerLetter"/>
      <w:lvlText w:val="%2."/>
      <w:lvlJc w:val="left"/>
      <w:pPr>
        <w:ind w:left="2243" w:hanging="360"/>
      </w:pPr>
    </w:lvl>
    <w:lvl w:ilvl="2" w:tplc="E2DCA492" w:tentative="1">
      <w:start w:val="1"/>
      <w:numFmt w:val="lowerRoman"/>
      <w:lvlText w:val="%3."/>
      <w:lvlJc w:val="right"/>
      <w:pPr>
        <w:ind w:left="2963" w:hanging="180"/>
      </w:pPr>
    </w:lvl>
    <w:lvl w:ilvl="3" w:tplc="FE88619A" w:tentative="1">
      <w:start w:val="1"/>
      <w:numFmt w:val="decimal"/>
      <w:lvlText w:val="%4."/>
      <w:lvlJc w:val="left"/>
      <w:pPr>
        <w:ind w:left="3683" w:hanging="360"/>
      </w:pPr>
    </w:lvl>
    <w:lvl w:ilvl="4" w:tplc="EFEE39D4" w:tentative="1">
      <w:start w:val="1"/>
      <w:numFmt w:val="lowerLetter"/>
      <w:lvlText w:val="%5."/>
      <w:lvlJc w:val="left"/>
      <w:pPr>
        <w:ind w:left="4403" w:hanging="360"/>
      </w:pPr>
    </w:lvl>
    <w:lvl w:ilvl="5" w:tplc="DE8C5C52" w:tentative="1">
      <w:start w:val="1"/>
      <w:numFmt w:val="lowerRoman"/>
      <w:lvlText w:val="%6."/>
      <w:lvlJc w:val="right"/>
      <w:pPr>
        <w:ind w:left="5123" w:hanging="180"/>
      </w:pPr>
    </w:lvl>
    <w:lvl w:ilvl="6" w:tplc="3A58B056" w:tentative="1">
      <w:start w:val="1"/>
      <w:numFmt w:val="decimal"/>
      <w:lvlText w:val="%7."/>
      <w:lvlJc w:val="left"/>
      <w:pPr>
        <w:ind w:left="5843" w:hanging="360"/>
      </w:pPr>
    </w:lvl>
    <w:lvl w:ilvl="7" w:tplc="74E85412" w:tentative="1">
      <w:start w:val="1"/>
      <w:numFmt w:val="lowerLetter"/>
      <w:lvlText w:val="%8."/>
      <w:lvlJc w:val="left"/>
      <w:pPr>
        <w:ind w:left="6563" w:hanging="360"/>
      </w:pPr>
    </w:lvl>
    <w:lvl w:ilvl="8" w:tplc="C4FA50FC" w:tentative="1">
      <w:start w:val="1"/>
      <w:numFmt w:val="lowerRoman"/>
      <w:lvlText w:val="%9."/>
      <w:lvlJc w:val="right"/>
      <w:pPr>
        <w:ind w:left="7283" w:hanging="180"/>
      </w:pPr>
    </w:lvl>
  </w:abstractNum>
  <w:abstractNum w:abstractNumId="16" w15:restartNumberingAfterBreak="0">
    <w:nsid w:val="2B256A51"/>
    <w:multiLevelType w:val="hybridMultilevel"/>
    <w:tmpl w:val="4E3CDA66"/>
    <w:lvl w:ilvl="0" w:tplc="90BADB50">
      <w:numFmt w:val="bullet"/>
      <w:lvlText w:val="-"/>
      <w:lvlJc w:val="left"/>
      <w:pPr>
        <w:ind w:left="720" w:hanging="360"/>
      </w:pPr>
      <w:rPr>
        <w:rFonts w:ascii="FrankRuehl" w:eastAsia="Times New Roman" w:hAnsi="FrankRuehl" w:cs="FrankRueh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B13CD"/>
    <w:multiLevelType w:val="hybridMultilevel"/>
    <w:tmpl w:val="EBD61442"/>
    <w:lvl w:ilvl="0" w:tplc="E3EA239E">
      <w:numFmt w:val="bullet"/>
      <w:lvlText w:val="-"/>
      <w:lvlJc w:val="left"/>
      <w:pPr>
        <w:ind w:left="720" w:hanging="360"/>
      </w:pPr>
      <w:rPr>
        <w:rFonts w:ascii="FrankRuehl" w:eastAsia="Times New Roman" w:hAnsi="FrankRuehl" w:cs="FrankRueh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FC003A"/>
    <w:multiLevelType w:val="hybridMultilevel"/>
    <w:tmpl w:val="A7BAF6F0"/>
    <w:lvl w:ilvl="0" w:tplc="E3EA239E">
      <w:numFmt w:val="bullet"/>
      <w:lvlText w:val="-"/>
      <w:lvlJc w:val="left"/>
      <w:pPr>
        <w:ind w:left="720" w:hanging="360"/>
      </w:pPr>
      <w:rPr>
        <w:rFonts w:ascii="FrankRuehl" w:eastAsia="Times New Roman" w:hAnsi="FrankRuehl" w:cs="FrankRueh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F2C17"/>
    <w:multiLevelType w:val="hybridMultilevel"/>
    <w:tmpl w:val="70E6BEAE"/>
    <w:lvl w:ilvl="0" w:tplc="04090001">
      <w:start w:val="1"/>
      <w:numFmt w:val="bullet"/>
      <w:lvlText w:val=""/>
      <w:lvlJc w:val="left"/>
      <w:pPr>
        <w:tabs>
          <w:tab w:val="num" w:pos="907"/>
        </w:tabs>
        <w:ind w:left="0" w:firstLine="0"/>
      </w:pPr>
      <w:rPr>
        <w:rFonts w:ascii="Symbol" w:hAnsi="Symbol"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A881833"/>
    <w:multiLevelType w:val="hybridMultilevel"/>
    <w:tmpl w:val="E940E748"/>
    <w:lvl w:ilvl="0" w:tplc="E5044EF8">
      <w:start w:val="2"/>
      <w:numFmt w:val="bullet"/>
      <w:lvlText w:val="-"/>
      <w:lvlJc w:val="left"/>
      <w:pPr>
        <w:ind w:left="720" w:hanging="360"/>
      </w:pPr>
      <w:rPr>
        <w:rFonts w:ascii="FrankRuehl" w:eastAsia="Times New Roman" w:hAnsi="FrankRuehl" w:cs="FrankRueh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8"/>
  </w:num>
  <w:num w:numId="13">
    <w:abstractNumId w:val="10"/>
  </w:num>
  <w:num w:numId="14">
    <w:abstractNumId w:val="17"/>
  </w:num>
  <w:num w:numId="15">
    <w:abstractNumId w:val="19"/>
  </w:num>
  <w:num w:numId="16">
    <w:abstractNumId w:val="21"/>
  </w:num>
  <w:num w:numId="17">
    <w:abstractNumId w:val="16"/>
  </w:num>
  <w:num w:numId="18">
    <w:abstractNumId w:val="20"/>
  </w:num>
  <w:num w:numId="19">
    <w:abstractNumId w:val="13"/>
  </w:num>
  <w:num w:numId="20">
    <w:abstractNumId w:val="12"/>
  </w:num>
  <w:num w:numId="21">
    <w:abstractNumId w:val="14"/>
  </w:num>
  <w:num w:numId="22">
    <w:abstractNumId w:val="15"/>
  </w:num>
  <w:num w:numId="23">
    <w:abstractNumId w:val="11"/>
    <w:lvlOverride w:ilvl="0">
      <w:startOverride w:val="57"/>
    </w:lvlOverride>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21"/>
    </w:lvlOverride>
  </w:num>
  <w:num w:numId="28">
    <w:abstractNumId w:val="11"/>
    <w:lvlOverride w:ilvl="0">
      <w:startOverride w:val="38"/>
    </w:lvlOverride>
  </w:num>
  <w:num w:numId="29">
    <w:abstractNumId w:val="11"/>
    <w:lvlOverride w:ilvl="0">
      <w:startOverride w:val="3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2C55"/>
    <w:rsid w:val="00016EF1"/>
    <w:rsid w:val="00032036"/>
    <w:rsid w:val="00036227"/>
    <w:rsid w:val="00036694"/>
    <w:rsid w:val="00043900"/>
    <w:rsid w:val="00044953"/>
    <w:rsid w:val="00045B4D"/>
    <w:rsid w:val="00046478"/>
    <w:rsid w:val="000725F5"/>
    <w:rsid w:val="00072AD2"/>
    <w:rsid w:val="0007439D"/>
    <w:rsid w:val="000B1478"/>
    <w:rsid w:val="000C39A5"/>
    <w:rsid w:val="000C4690"/>
    <w:rsid w:val="000D25C4"/>
    <w:rsid w:val="000E48FB"/>
    <w:rsid w:val="000E771E"/>
    <w:rsid w:val="000F01C6"/>
    <w:rsid w:val="000F13A9"/>
    <w:rsid w:val="000F7891"/>
    <w:rsid w:val="00134A67"/>
    <w:rsid w:val="001420A9"/>
    <w:rsid w:val="00151E87"/>
    <w:rsid w:val="00167BF0"/>
    <w:rsid w:val="001A0164"/>
    <w:rsid w:val="001E6B43"/>
    <w:rsid w:val="001E712D"/>
    <w:rsid w:val="001F3544"/>
    <w:rsid w:val="00200D6B"/>
    <w:rsid w:val="00230278"/>
    <w:rsid w:val="002340E1"/>
    <w:rsid w:val="0025698F"/>
    <w:rsid w:val="00265F6E"/>
    <w:rsid w:val="00267280"/>
    <w:rsid w:val="00267782"/>
    <w:rsid w:val="0027040E"/>
    <w:rsid w:val="00283414"/>
    <w:rsid w:val="002876BF"/>
    <w:rsid w:val="00290384"/>
    <w:rsid w:val="00292283"/>
    <w:rsid w:val="002A4A7A"/>
    <w:rsid w:val="002A4BF3"/>
    <w:rsid w:val="002C1F47"/>
    <w:rsid w:val="002C73C2"/>
    <w:rsid w:val="002F7BB6"/>
    <w:rsid w:val="003448B2"/>
    <w:rsid w:val="003616C3"/>
    <w:rsid w:val="00361DB2"/>
    <w:rsid w:val="0037622E"/>
    <w:rsid w:val="00377102"/>
    <w:rsid w:val="0038660D"/>
    <w:rsid w:val="0039709B"/>
    <w:rsid w:val="003A0D70"/>
    <w:rsid w:val="003B0B79"/>
    <w:rsid w:val="003B5234"/>
    <w:rsid w:val="003D72DA"/>
    <w:rsid w:val="003E4F42"/>
    <w:rsid w:val="003F1F97"/>
    <w:rsid w:val="00405B3D"/>
    <w:rsid w:val="0041048F"/>
    <w:rsid w:val="00434B69"/>
    <w:rsid w:val="00437D59"/>
    <w:rsid w:val="00454A14"/>
    <w:rsid w:val="004610A4"/>
    <w:rsid w:val="004B29FF"/>
    <w:rsid w:val="004B43EB"/>
    <w:rsid w:val="004C7868"/>
    <w:rsid w:val="00503A3E"/>
    <w:rsid w:val="00527F02"/>
    <w:rsid w:val="00534B21"/>
    <w:rsid w:val="005426D3"/>
    <w:rsid w:val="00553993"/>
    <w:rsid w:val="00553FDC"/>
    <w:rsid w:val="00562EBF"/>
    <w:rsid w:val="005803E2"/>
    <w:rsid w:val="0058440A"/>
    <w:rsid w:val="005860BF"/>
    <w:rsid w:val="00591983"/>
    <w:rsid w:val="005F5533"/>
    <w:rsid w:val="00620443"/>
    <w:rsid w:val="00624A42"/>
    <w:rsid w:val="00634D93"/>
    <w:rsid w:val="0065522F"/>
    <w:rsid w:val="00687669"/>
    <w:rsid w:val="006A30F7"/>
    <w:rsid w:val="006C42AD"/>
    <w:rsid w:val="00706219"/>
    <w:rsid w:val="00725345"/>
    <w:rsid w:val="00730591"/>
    <w:rsid w:val="00741CC0"/>
    <w:rsid w:val="007435D5"/>
    <w:rsid w:val="0074527E"/>
    <w:rsid w:val="00786354"/>
    <w:rsid w:val="007942F3"/>
    <w:rsid w:val="007B512F"/>
    <w:rsid w:val="007F7512"/>
    <w:rsid w:val="00810894"/>
    <w:rsid w:val="008143AB"/>
    <w:rsid w:val="0083345F"/>
    <w:rsid w:val="00836667"/>
    <w:rsid w:val="00866D0F"/>
    <w:rsid w:val="008C2F11"/>
    <w:rsid w:val="008D33FE"/>
    <w:rsid w:val="008D78B9"/>
    <w:rsid w:val="008E3F85"/>
    <w:rsid w:val="009051E8"/>
    <w:rsid w:val="009064AA"/>
    <w:rsid w:val="00914156"/>
    <w:rsid w:val="00916FF8"/>
    <w:rsid w:val="00922093"/>
    <w:rsid w:val="00930C85"/>
    <w:rsid w:val="00936FFE"/>
    <w:rsid w:val="00962257"/>
    <w:rsid w:val="009719F2"/>
    <w:rsid w:val="009B38DA"/>
    <w:rsid w:val="009E681D"/>
    <w:rsid w:val="009F1EBE"/>
    <w:rsid w:val="009F2F53"/>
    <w:rsid w:val="009F4187"/>
    <w:rsid w:val="00A03119"/>
    <w:rsid w:val="00A10BDB"/>
    <w:rsid w:val="00A12E0F"/>
    <w:rsid w:val="00A437E8"/>
    <w:rsid w:val="00A46E57"/>
    <w:rsid w:val="00A51FAE"/>
    <w:rsid w:val="00A80845"/>
    <w:rsid w:val="00AA2FE4"/>
    <w:rsid w:val="00AB69F7"/>
    <w:rsid w:val="00AD097B"/>
    <w:rsid w:val="00AD64B9"/>
    <w:rsid w:val="00AE022B"/>
    <w:rsid w:val="00AE52D0"/>
    <w:rsid w:val="00AF152A"/>
    <w:rsid w:val="00AF39CE"/>
    <w:rsid w:val="00B009CC"/>
    <w:rsid w:val="00B0782A"/>
    <w:rsid w:val="00B36DA5"/>
    <w:rsid w:val="00B62B8C"/>
    <w:rsid w:val="00B63343"/>
    <w:rsid w:val="00B87FF7"/>
    <w:rsid w:val="00BA0B08"/>
    <w:rsid w:val="00BA577A"/>
    <w:rsid w:val="00BA604B"/>
    <w:rsid w:val="00BB1321"/>
    <w:rsid w:val="00BC0E82"/>
    <w:rsid w:val="00BD2D6A"/>
    <w:rsid w:val="00BD3E24"/>
    <w:rsid w:val="00BD40F9"/>
    <w:rsid w:val="00C27A41"/>
    <w:rsid w:val="00C40299"/>
    <w:rsid w:val="00C413FD"/>
    <w:rsid w:val="00C41C86"/>
    <w:rsid w:val="00C634B8"/>
    <w:rsid w:val="00C63A6C"/>
    <w:rsid w:val="00C72D93"/>
    <w:rsid w:val="00C90B73"/>
    <w:rsid w:val="00C94FCF"/>
    <w:rsid w:val="00C96A62"/>
    <w:rsid w:val="00C97B4E"/>
    <w:rsid w:val="00CA13AF"/>
    <w:rsid w:val="00CA1444"/>
    <w:rsid w:val="00CA46C9"/>
    <w:rsid w:val="00CB1590"/>
    <w:rsid w:val="00CB7600"/>
    <w:rsid w:val="00CC0E9D"/>
    <w:rsid w:val="00CC3639"/>
    <w:rsid w:val="00D00B1D"/>
    <w:rsid w:val="00D00CB7"/>
    <w:rsid w:val="00D23F30"/>
    <w:rsid w:val="00D25F16"/>
    <w:rsid w:val="00D53B62"/>
    <w:rsid w:val="00D53F66"/>
    <w:rsid w:val="00D57E3F"/>
    <w:rsid w:val="00DB7B36"/>
    <w:rsid w:val="00DC5983"/>
    <w:rsid w:val="00DC7961"/>
    <w:rsid w:val="00DF7F20"/>
    <w:rsid w:val="00E0086F"/>
    <w:rsid w:val="00E21CA9"/>
    <w:rsid w:val="00E31063"/>
    <w:rsid w:val="00E3416E"/>
    <w:rsid w:val="00E36FE9"/>
    <w:rsid w:val="00E50A79"/>
    <w:rsid w:val="00E53976"/>
    <w:rsid w:val="00E73E98"/>
    <w:rsid w:val="00E75223"/>
    <w:rsid w:val="00E848FF"/>
    <w:rsid w:val="00E90D72"/>
    <w:rsid w:val="00E97455"/>
    <w:rsid w:val="00EA0BE1"/>
    <w:rsid w:val="00EB10CF"/>
    <w:rsid w:val="00EB6F7F"/>
    <w:rsid w:val="00EC23AC"/>
    <w:rsid w:val="00EC2992"/>
    <w:rsid w:val="00EC3DAB"/>
    <w:rsid w:val="00ED46A4"/>
    <w:rsid w:val="00ED6FD9"/>
    <w:rsid w:val="00EE3810"/>
    <w:rsid w:val="00EF5C63"/>
    <w:rsid w:val="00F117D9"/>
    <w:rsid w:val="00F32774"/>
    <w:rsid w:val="00F4541A"/>
    <w:rsid w:val="00F63C3B"/>
    <w:rsid w:val="00F959DB"/>
    <w:rsid w:val="00FB5C4D"/>
    <w:rsid w:val="00FC0252"/>
    <w:rsid w:val="00FC3C01"/>
    <w:rsid w:val="00FC610B"/>
    <w:rsid w:val="00FD1C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1E83FAA-7F6F-4ED0-A7BF-7B379AF52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Ruller4"/>
    <w:next w:val="a"/>
    <w:link w:val="10"/>
    <w:qFormat/>
    <w:rsid w:val="001E6B43"/>
    <w:pPr>
      <w:numPr>
        <w:numId w:val="0"/>
      </w:numPr>
      <w:outlineLvl w:val="0"/>
    </w:pPr>
    <w:rPr>
      <w:rFonts w:ascii="Century" w:hAnsi="Century" w:cs="Miriam"/>
      <w:b/>
      <w:spacing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10">
    <w:name w:val="כותרת 1 תו"/>
    <w:basedOn w:val="a0"/>
    <w:link w:val="1"/>
    <w:rsid w:val="001E6B43"/>
    <w:rPr>
      <w:rFonts w:ascii="Century" w:hAnsi="Century" w:cs="Miriam"/>
      <w:b/>
      <w:sz w:val="22"/>
      <w:szCs w:val="24"/>
    </w:rPr>
  </w:style>
  <w:style w:type="paragraph" w:customStyle="1" w:styleId="Ruller4">
    <w:name w:val="Ruller 4 ממוספר"/>
    <w:basedOn w:val="Ruller41"/>
    <w:next w:val="Ruller41"/>
    <w:link w:val="Ruller43"/>
    <w:rsid w:val="001E6B43"/>
    <w:pPr>
      <w:numPr>
        <w:numId w:val="11"/>
      </w:numPr>
    </w:pPr>
    <w:rPr>
      <w:rFonts w:ascii="Garamond" w:hAnsi="Garamond"/>
      <w:sz w:val="24"/>
    </w:rPr>
  </w:style>
  <w:style w:type="paragraph" w:customStyle="1" w:styleId="Ruller40">
    <w:name w:val="Ruller4 אלפביתי"/>
    <w:basedOn w:val="Ruller41"/>
    <w:next w:val="Ruller41"/>
    <w:rsid w:val="001E6B43"/>
    <w:pPr>
      <w:numPr>
        <w:numId w:val="12"/>
      </w:numPr>
    </w:pPr>
  </w:style>
  <w:style w:type="character" w:customStyle="1" w:styleId="default">
    <w:name w:val="default"/>
    <w:rsid w:val="001E6B43"/>
    <w:rPr>
      <w:rFonts w:ascii="Times New Roman" w:hAnsi="Times New Roman" w:cs="Times New Roman"/>
      <w:sz w:val="26"/>
      <w:szCs w:val="26"/>
    </w:rPr>
  </w:style>
  <w:style w:type="paragraph" w:customStyle="1" w:styleId="ruller50">
    <w:name w:val="ruller5"/>
    <w:basedOn w:val="a"/>
    <w:rsid w:val="001E6B43"/>
    <w:pPr>
      <w:overflowPunct/>
      <w:autoSpaceDE/>
      <w:autoSpaceDN/>
      <w:bidi w:val="0"/>
      <w:adjustRightInd/>
      <w:spacing w:before="100" w:beforeAutospacing="1" w:after="100" w:afterAutospacing="1"/>
      <w:textAlignment w:val="auto"/>
    </w:pPr>
    <w:rPr>
      <w:rFonts w:cs="Times New Roman"/>
      <w:sz w:val="24"/>
    </w:rPr>
  </w:style>
  <w:style w:type="paragraph" w:customStyle="1" w:styleId="ruller44">
    <w:name w:val="ruller4"/>
    <w:basedOn w:val="a"/>
    <w:rsid w:val="001E6B43"/>
    <w:pPr>
      <w:overflowPunct/>
      <w:autoSpaceDE/>
      <w:autoSpaceDN/>
      <w:bidi w:val="0"/>
      <w:adjustRightInd/>
      <w:spacing w:before="100" w:beforeAutospacing="1" w:after="100" w:afterAutospacing="1"/>
      <w:textAlignment w:val="auto"/>
    </w:pPr>
    <w:rPr>
      <w:rFonts w:cs="Times New Roman"/>
      <w:sz w:val="24"/>
    </w:rPr>
  </w:style>
  <w:style w:type="character" w:customStyle="1" w:styleId="Ruller42">
    <w:name w:val="Ruller4 תו"/>
    <w:link w:val="Ruller41"/>
    <w:locked/>
    <w:rsid w:val="001E6B43"/>
    <w:rPr>
      <w:rFonts w:ascii="Arial TUR" w:hAnsi="Arial TUR" w:cs="FrankRuehl"/>
      <w:spacing w:val="10"/>
      <w:sz w:val="22"/>
      <w:szCs w:val="28"/>
    </w:rPr>
  </w:style>
  <w:style w:type="character" w:customStyle="1" w:styleId="Ruller43">
    <w:name w:val="Ruller 4 ממוספר תו"/>
    <w:link w:val="Ruller4"/>
    <w:locked/>
    <w:rsid w:val="001E6B43"/>
    <w:rPr>
      <w:rFonts w:ascii="Garamond" w:hAnsi="Garamond" w:cs="FrankRuehl"/>
      <w:spacing w:val="10"/>
      <w:sz w:val="24"/>
      <w:szCs w:val="28"/>
    </w:rPr>
  </w:style>
  <w:style w:type="paragraph" w:customStyle="1" w:styleId="ruller400">
    <w:name w:val="ruller40"/>
    <w:basedOn w:val="a"/>
    <w:rsid w:val="001E6B43"/>
    <w:pPr>
      <w:overflowPunct/>
      <w:autoSpaceDE/>
      <w:autoSpaceDN/>
      <w:bidi w:val="0"/>
      <w:adjustRightInd/>
      <w:spacing w:before="100" w:beforeAutospacing="1" w:after="100" w:afterAutospacing="1"/>
      <w:textAlignment w:val="auto"/>
    </w:pPr>
    <w:rPr>
      <w:rFonts w:cs="Times New Roman"/>
      <w:sz w:val="24"/>
    </w:rPr>
  </w:style>
  <w:style w:type="paragraph" w:styleId="ae">
    <w:name w:val="footnote text"/>
    <w:basedOn w:val="a"/>
    <w:link w:val="af"/>
    <w:rsid w:val="00553FDC"/>
    <w:rPr>
      <w:szCs w:val="20"/>
    </w:rPr>
  </w:style>
  <w:style w:type="character" w:customStyle="1" w:styleId="af">
    <w:name w:val="טקסט הערת שוליים תו"/>
    <w:basedOn w:val="a0"/>
    <w:link w:val="ae"/>
    <w:rsid w:val="00553FDC"/>
    <w:rPr>
      <w:rFonts w:cs="David"/>
    </w:rPr>
  </w:style>
  <w:style w:type="character" w:styleId="af0">
    <w:name w:val="footnote reference"/>
    <w:basedOn w:val="a0"/>
    <w:rsid w:val="00553FDC"/>
    <w:rPr>
      <w:vertAlign w:val="superscript"/>
    </w:rPr>
  </w:style>
  <w:style w:type="paragraph" w:styleId="af1">
    <w:name w:val="Revision"/>
    <w:hidden/>
    <w:uiPriority w:val="99"/>
    <w:semiHidden/>
    <w:rsid w:val="00553FDC"/>
    <w:rPr>
      <w:rFonts w:cs="David"/>
      <w:szCs w:val="24"/>
    </w:rPr>
  </w:style>
  <w:style w:type="paragraph" w:styleId="af2">
    <w:name w:val="List Paragraph"/>
    <w:basedOn w:val="a"/>
    <w:uiPriority w:val="34"/>
    <w:qFormat/>
    <w:rsid w:val="00C41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upreme.court.gov.i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97</Pages>
  <Words>31478</Words>
  <Characters>157392</Characters>
  <Application>Microsoft Office Word</Application>
  <DocSecurity>0</DocSecurity>
  <Lines>1311</Lines>
  <Paragraphs>376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188494</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רותם כהן</cp:lastModifiedBy>
  <cp:revision>2</cp:revision>
  <cp:lastPrinted>2023-10-26T14:03:00Z</cp:lastPrinted>
  <dcterms:created xsi:type="dcterms:W3CDTF">2023-10-26T14:15:00Z</dcterms:created>
  <dcterms:modified xsi:type="dcterms:W3CDTF">2023-10-26T14:15:00Z</dcterms:modified>
</cp:coreProperties>
</file>